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247B6" w14:textId="77777777" w:rsidR="003E7948" w:rsidRDefault="003E7948">
      <w:pPr>
        <w:rPr>
          <w:rFonts w:cstheme="minorHAnsi"/>
          <w:b/>
          <w:smallCaps/>
        </w:rPr>
      </w:pPr>
    </w:p>
    <w:p w14:paraId="18C5FF44" w14:textId="77777777" w:rsidR="003E7948" w:rsidRDefault="003E7948">
      <w:pPr>
        <w:rPr>
          <w:rFonts w:cstheme="minorHAnsi"/>
          <w:b/>
          <w:smallCaps/>
        </w:rPr>
      </w:pPr>
    </w:p>
    <w:p w14:paraId="7EDE87A0" w14:textId="77777777" w:rsidR="003E7948" w:rsidRDefault="003E7948">
      <w:pPr>
        <w:rPr>
          <w:rFonts w:cstheme="minorHAnsi"/>
          <w:b/>
          <w:smallCaps/>
        </w:rPr>
      </w:pPr>
    </w:p>
    <w:p w14:paraId="3A06009C" w14:textId="77777777" w:rsidR="003E7948" w:rsidRDefault="003E7948">
      <w:pPr>
        <w:rPr>
          <w:rFonts w:cstheme="minorHAnsi"/>
          <w:b/>
          <w:smallCaps/>
        </w:rPr>
      </w:pPr>
    </w:p>
    <w:p w14:paraId="13522157" w14:textId="77777777" w:rsidR="003E7948" w:rsidRDefault="003E7948" w:rsidP="003E7948">
      <w:pPr>
        <w:jc w:val="center"/>
        <w:rPr>
          <w:rFonts w:cstheme="minorHAnsi"/>
          <w:b/>
          <w:smallCaps/>
        </w:rPr>
      </w:pPr>
    </w:p>
    <w:p w14:paraId="50D5B0B7" w14:textId="77777777" w:rsidR="003E7948" w:rsidRDefault="003E7948">
      <w:pPr>
        <w:rPr>
          <w:rFonts w:cstheme="minorHAnsi"/>
          <w:b/>
          <w:smallCaps/>
        </w:rPr>
      </w:pPr>
    </w:p>
    <w:p w14:paraId="30E93978" w14:textId="77777777" w:rsidR="003E7948" w:rsidRDefault="003E7948">
      <w:pPr>
        <w:rPr>
          <w:rFonts w:cstheme="minorHAnsi"/>
          <w:b/>
          <w:smallCaps/>
        </w:rPr>
      </w:pPr>
    </w:p>
    <w:p w14:paraId="7E4E7407" w14:textId="77777777" w:rsidR="003E7948" w:rsidRDefault="003E7948">
      <w:pPr>
        <w:rPr>
          <w:rFonts w:cstheme="minorHAnsi"/>
          <w:b/>
          <w:smallCaps/>
        </w:rPr>
      </w:pPr>
    </w:p>
    <w:p w14:paraId="22C61CAB" w14:textId="77777777" w:rsidR="003E7948" w:rsidRDefault="003E7948">
      <w:pPr>
        <w:rPr>
          <w:rFonts w:cstheme="minorHAnsi"/>
          <w:b/>
          <w:smallCaps/>
        </w:rPr>
      </w:pPr>
    </w:p>
    <w:p w14:paraId="254683CB" w14:textId="77777777" w:rsidR="003E7948" w:rsidRDefault="003E7948">
      <w:pPr>
        <w:rPr>
          <w:rFonts w:cstheme="minorHAnsi"/>
          <w:b/>
          <w:smallCaps/>
        </w:rPr>
      </w:pPr>
    </w:p>
    <w:p w14:paraId="1D3ADB04" w14:textId="77777777" w:rsidR="003E7948" w:rsidRDefault="003E7948">
      <w:pPr>
        <w:rPr>
          <w:rFonts w:cstheme="minorHAnsi"/>
          <w:b/>
          <w:smallCaps/>
        </w:rPr>
      </w:pPr>
    </w:p>
    <w:p w14:paraId="75F0DAE0" w14:textId="77777777" w:rsidR="003E7948" w:rsidRDefault="003E7948">
      <w:pPr>
        <w:rPr>
          <w:rFonts w:cstheme="minorHAnsi"/>
          <w:b/>
          <w:smallCaps/>
        </w:rPr>
      </w:pPr>
    </w:p>
    <w:p w14:paraId="3409CCF2" w14:textId="77777777" w:rsidR="003E7948" w:rsidRDefault="003E7948">
      <w:pPr>
        <w:rPr>
          <w:rFonts w:cstheme="minorHAnsi"/>
          <w:b/>
          <w:smallCaps/>
        </w:rPr>
      </w:pPr>
    </w:p>
    <w:p w14:paraId="77082645" w14:textId="320E1372" w:rsidR="003E7948" w:rsidRPr="003E7948" w:rsidRDefault="002F079A" w:rsidP="003E7948">
      <w:pPr>
        <w:jc w:val="center"/>
        <w:rPr>
          <w:rFonts w:cstheme="minorHAnsi"/>
          <w:b/>
          <w:smallCaps/>
          <w:sz w:val="40"/>
          <w:szCs w:val="40"/>
        </w:rPr>
      </w:pPr>
      <w:r>
        <w:rPr>
          <w:rFonts w:cstheme="minorHAnsi"/>
          <w:b/>
          <w:smallCaps/>
          <w:sz w:val="40"/>
          <w:szCs w:val="40"/>
        </w:rPr>
        <w:t>Securing</w:t>
      </w:r>
      <w:r w:rsidR="003E7948">
        <w:rPr>
          <w:rFonts w:cstheme="minorHAnsi"/>
          <w:b/>
          <w:smallCaps/>
          <w:sz w:val="40"/>
          <w:szCs w:val="40"/>
        </w:rPr>
        <w:t xml:space="preserve"> the Past, Acknowledging the Present: </w:t>
      </w:r>
      <w:r w:rsidR="0072757F">
        <w:rPr>
          <w:rFonts w:cstheme="minorHAnsi"/>
          <w:b/>
          <w:smallCaps/>
          <w:sz w:val="40"/>
          <w:szCs w:val="40"/>
        </w:rPr>
        <w:t xml:space="preserve">A Guide to </w:t>
      </w:r>
      <w:r w:rsidR="003E7948">
        <w:rPr>
          <w:rFonts w:cstheme="minorHAnsi"/>
          <w:b/>
          <w:smallCaps/>
          <w:sz w:val="40"/>
          <w:szCs w:val="40"/>
        </w:rPr>
        <w:t>Broadening the Utility of Human Rights Documentation</w:t>
      </w:r>
    </w:p>
    <w:p w14:paraId="1499B099" w14:textId="77777777" w:rsidR="003E7948" w:rsidRDefault="003E7948">
      <w:pPr>
        <w:rPr>
          <w:rFonts w:cstheme="minorHAnsi"/>
          <w:b/>
          <w:smallCaps/>
        </w:rPr>
      </w:pPr>
      <w:r>
        <w:rPr>
          <w:rFonts w:cstheme="minorHAnsi"/>
          <w:b/>
          <w:smallCaps/>
        </w:rPr>
        <w:br w:type="page"/>
      </w:r>
      <w:r>
        <w:rPr>
          <w:rFonts w:cstheme="minorHAnsi"/>
          <w:b/>
          <w:smallCaps/>
        </w:rPr>
        <w:lastRenderedPageBreak/>
        <w:t>About the Author</w:t>
      </w:r>
    </w:p>
    <w:p w14:paraId="2FB34DD6" w14:textId="77777777" w:rsidR="003E7948" w:rsidRDefault="003E7948" w:rsidP="003E7948"/>
    <w:p w14:paraId="0CBDCE68" w14:textId="75C733DD" w:rsidR="003E7948" w:rsidRDefault="003E7948" w:rsidP="003E7948">
      <w:r>
        <w:t xml:space="preserve">Jacqueline Geis has over two decades of experience working across a range of human rights and justice initiatives. Until </w:t>
      </w:r>
      <w:r w:rsidR="00F17564">
        <w:t>June 2023,</w:t>
      </w:r>
      <w:r w:rsidR="001D32A6">
        <w:t xml:space="preserve"> </w:t>
      </w:r>
      <w:r>
        <w:t xml:space="preserve">she was the CEO of </w:t>
      </w:r>
      <w:proofErr w:type="spellStart"/>
      <w:r>
        <w:t>Videre</w:t>
      </w:r>
      <w:proofErr w:type="spellEnd"/>
      <w:r>
        <w:t xml:space="preserve"> </w:t>
      </w:r>
      <w:proofErr w:type="spellStart"/>
      <w:proofErr w:type="gramStart"/>
      <w:r>
        <w:t>est</w:t>
      </w:r>
      <w:proofErr w:type="spellEnd"/>
      <w:proofErr w:type="gramEnd"/>
      <w:r>
        <w:t xml:space="preserve"> </w:t>
      </w:r>
      <w:proofErr w:type="spellStart"/>
      <w:r>
        <w:t>Credere</w:t>
      </w:r>
      <w:proofErr w:type="spellEnd"/>
      <w:r>
        <w:t xml:space="preserve">, where she spent a decade building it into an award-winning, highly-respected human rights documentation organization. Under her leadership, </w:t>
      </w:r>
      <w:proofErr w:type="spellStart"/>
      <w:r>
        <w:t>Videre</w:t>
      </w:r>
      <w:proofErr w:type="spellEnd"/>
      <w:r>
        <w:t xml:space="preserve"> exposed genocide, revealed systematic political violence, uncovered widespread corruption affecting the lives of millions, and spurred concrete policy changes and action.</w:t>
      </w:r>
      <w:r>
        <w:br/>
      </w:r>
      <w:r>
        <w:br/>
        <w:t>Her experience spans start-ups and large institutions; the public and private sectors; and work across justice, human rights, technology, and climate. A keen strategist, she has conceptualized, built, and led internationally-focused initiatives at a wide range of organizations, including the Brookings Institution, US Department</w:t>
      </w:r>
      <w:r w:rsidR="00F17564">
        <w:t xml:space="preserve"> of State</w:t>
      </w:r>
      <w:r>
        <w:t xml:space="preserve">, </w:t>
      </w:r>
      <w:proofErr w:type="gramStart"/>
      <w:r>
        <w:t>UN</w:t>
      </w:r>
      <w:proofErr w:type="gramEnd"/>
      <w:r>
        <w:t xml:space="preserve"> International Criminal Tribunal for the Former Yugoslavia (ICTY), and the American Bar Association. She is a member of the International Criminal Court’s Technology Advisory Board and a sought-after advisor and speaker on security and documentation efforts in complex human rights environments. </w:t>
      </w:r>
    </w:p>
    <w:p w14:paraId="68A42014" w14:textId="77777777" w:rsidR="003E7948" w:rsidRDefault="003E7948" w:rsidP="003E7948"/>
    <w:p w14:paraId="7B6F9739" w14:textId="77777777" w:rsidR="003E7948" w:rsidRDefault="003E7948" w:rsidP="003E7948">
      <w:r>
        <w:t xml:space="preserve">Jacqueline holds a BA in international relations from Mount Holyoke College and a MPP from Georgetown University’s McCourt School of Public Policy. </w:t>
      </w:r>
    </w:p>
    <w:p w14:paraId="47342146" w14:textId="6718AA88" w:rsidR="003E7948" w:rsidRDefault="003E7948">
      <w:pPr>
        <w:rPr>
          <w:rFonts w:cstheme="minorHAnsi"/>
          <w:b/>
          <w:smallCaps/>
        </w:rPr>
      </w:pPr>
      <w:r>
        <w:rPr>
          <w:rFonts w:cstheme="minorHAnsi"/>
          <w:b/>
          <w:smallCaps/>
        </w:rPr>
        <w:br w:type="page"/>
      </w:r>
    </w:p>
    <w:p w14:paraId="40FDB816" w14:textId="77777777" w:rsidR="003E7948" w:rsidRDefault="003E7948">
      <w:pPr>
        <w:rPr>
          <w:rFonts w:cstheme="minorHAnsi"/>
          <w:b/>
          <w:smallCaps/>
        </w:rPr>
      </w:pPr>
    </w:p>
    <w:p w14:paraId="53CBCDC7" w14:textId="0D491194" w:rsidR="00BD1C8A" w:rsidRPr="00CD4CEA" w:rsidRDefault="00D206EC">
      <w:pPr>
        <w:rPr>
          <w:rFonts w:cstheme="minorHAnsi"/>
          <w:b/>
          <w:smallCaps/>
        </w:rPr>
      </w:pPr>
      <w:r w:rsidRPr="00CD4CEA">
        <w:rPr>
          <w:rFonts w:cstheme="minorHAnsi"/>
          <w:b/>
          <w:smallCaps/>
        </w:rPr>
        <w:t xml:space="preserve">I. </w:t>
      </w:r>
      <w:r w:rsidR="00365FFE" w:rsidRPr="00CD4CEA">
        <w:rPr>
          <w:rFonts w:cstheme="minorHAnsi"/>
          <w:b/>
          <w:smallCaps/>
        </w:rPr>
        <w:t>Introduction</w:t>
      </w:r>
    </w:p>
    <w:p w14:paraId="4CA22D86" w14:textId="2953A04E" w:rsidR="00443E0F" w:rsidRPr="00CD4CEA" w:rsidRDefault="00424B0B">
      <w:pPr>
        <w:rPr>
          <w:rFonts w:cstheme="minorHAnsi"/>
        </w:rPr>
      </w:pPr>
      <w:r w:rsidRPr="00CD4CEA">
        <w:rPr>
          <w:rFonts w:cstheme="minorHAnsi"/>
        </w:rPr>
        <w:t>In many ways, we are in</w:t>
      </w:r>
      <w:r w:rsidR="00AE01D3" w:rsidRPr="00CD4CEA">
        <w:rPr>
          <w:rFonts w:cstheme="minorHAnsi"/>
        </w:rPr>
        <w:t xml:space="preserve"> a golden age for human rights documentation. Th</w:t>
      </w:r>
      <w:r w:rsidR="00443E0F" w:rsidRPr="00CD4CEA">
        <w:rPr>
          <w:rFonts w:cstheme="minorHAnsi"/>
        </w:rPr>
        <w:t>ere have never been so many tools</w:t>
      </w:r>
      <w:r w:rsidR="00AE01D3" w:rsidRPr="00CD4CEA">
        <w:rPr>
          <w:rFonts w:cstheme="minorHAnsi"/>
        </w:rPr>
        <w:t xml:space="preserve"> to </w:t>
      </w:r>
      <w:r w:rsidRPr="00CD4CEA">
        <w:rPr>
          <w:rFonts w:cstheme="minorHAnsi"/>
        </w:rPr>
        <w:t xml:space="preserve">safely </w:t>
      </w:r>
      <w:r w:rsidR="00AE01D3" w:rsidRPr="00CD4CEA">
        <w:rPr>
          <w:rFonts w:cstheme="minorHAnsi"/>
        </w:rPr>
        <w:t>gather and share information about human rights violations aroun</w:t>
      </w:r>
      <w:r w:rsidRPr="00CD4CEA">
        <w:rPr>
          <w:rFonts w:cstheme="minorHAnsi"/>
        </w:rPr>
        <w:t xml:space="preserve">d the world.  Social media platforms, decreasing costs of satellite imagery, and </w:t>
      </w:r>
      <w:r w:rsidR="00884282" w:rsidRPr="00CD4CEA">
        <w:rPr>
          <w:rFonts w:cstheme="minorHAnsi"/>
        </w:rPr>
        <w:t xml:space="preserve">a growing number of </w:t>
      </w:r>
      <w:r w:rsidRPr="00CD4CEA">
        <w:rPr>
          <w:rFonts w:cstheme="minorHAnsi"/>
        </w:rPr>
        <w:t>global communication technologies (</w:t>
      </w:r>
      <w:r w:rsidR="003863A3" w:rsidRPr="00CD4CEA">
        <w:rPr>
          <w:rFonts w:cstheme="minorHAnsi"/>
        </w:rPr>
        <w:t>e.g.</w:t>
      </w:r>
      <w:r w:rsidR="00B33E38">
        <w:rPr>
          <w:rFonts w:cstheme="minorHAnsi"/>
        </w:rPr>
        <w:t>,</w:t>
      </w:r>
      <w:r w:rsidR="003863A3" w:rsidRPr="00CD4CEA">
        <w:rPr>
          <w:rFonts w:cstheme="minorHAnsi"/>
        </w:rPr>
        <w:t xml:space="preserve"> </w:t>
      </w:r>
      <w:r w:rsidRPr="00CD4CEA">
        <w:rPr>
          <w:rFonts w:cstheme="minorHAnsi"/>
        </w:rPr>
        <w:t>smartphones, free international text messaging apps) have enabled an increasingly wide range of individuals the tools and means to document</w:t>
      </w:r>
      <w:r w:rsidR="007E4B37" w:rsidRPr="00CD4CEA">
        <w:rPr>
          <w:rFonts w:cstheme="minorHAnsi"/>
        </w:rPr>
        <w:t xml:space="preserve"> their lived reality and share it with those in a position to create meaningful change</w:t>
      </w:r>
      <w:r w:rsidRPr="00CD4CEA">
        <w:rPr>
          <w:rFonts w:cstheme="minorHAnsi"/>
        </w:rPr>
        <w:t xml:space="preserve">. </w:t>
      </w:r>
    </w:p>
    <w:p w14:paraId="04B94C8B" w14:textId="77777777" w:rsidR="00443E0F" w:rsidRPr="00CD4CEA" w:rsidRDefault="00443E0F">
      <w:pPr>
        <w:rPr>
          <w:rFonts w:cstheme="minorHAnsi"/>
        </w:rPr>
      </w:pPr>
    </w:p>
    <w:p w14:paraId="53BA2253" w14:textId="23C09D79" w:rsidR="00443E0F" w:rsidRPr="00CD4CEA" w:rsidRDefault="00443E0F">
      <w:pPr>
        <w:rPr>
          <w:rFonts w:cstheme="minorHAnsi"/>
        </w:rPr>
      </w:pPr>
      <w:r w:rsidRPr="00CD4CEA">
        <w:rPr>
          <w:rFonts w:cstheme="minorHAnsi"/>
        </w:rPr>
        <w:t xml:space="preserve">At the same time, </w:t>
      </w:r>
      <w:r w:rsidR="00424B0B" w:rsidRPr="00CD4CEA">
        <w:rPr>
          <w:rFonts w:cstheme="minorHAnsi"/>
        </w:rPr>
        <w:t>we are seeing a decrease in freedom and a worrying rise in authoritarian tendencies</w:t>
      </w:r>
      <w:r w:rsidR="007E4B37" w:rsidRPr="00CD4CEA">
        <w:rPr>
          <w:rFonts w:cstheme="minorHAnsi"/>
        </w:rPr>
        <w:t xml:space="preserve"> across the world</w:t>
      </w:r>
      <w:r w:rsidR="00424B0B" w:rsidRPr="00CD4CEA">
        <w:rPr>
          <w:rFonts w:cstheme="minorHAnsi"/>
        </w:rPr>
        <w:t xml:space="preserve">. </w:t>
      </w:r>
      <w:r w:rsidR="007E4B37" w:rsidRPr="00CD4CEA">
        <w:rPr>
          <w:rFonts w:cstheme="minorHAnsi"/>
        </w:rPr>
        <w:t>Space for dissent continues to shrink. The</w:t>
      </w:r>
      <w:r w:rsidRPr="00CD4CEA">
        <w:rPr>
          <w:rFonts w:cstheme="minorHAnsi"/>
        </w:rPr>
        <w:t xml:space="preserve"> same tools </w:t>
      </w:r>
      <w:r w:rsidR="007E4B37" w:rsidRPr="00CD4CEA">
        <w:rPr>
          <w:rFonts w:cstheme="minorHAnsi"/>
        </w:rPr>
        <w:t xml:space="preserve">that increased our ability to document violations </w:t>
      </w:r>
      <w:r w:rsidRPr="00CD4CEA">
        <w:rPr>
          <w:rFonts w:cstheme="minorHAnsi"/>
        </w:rPr>
        <w:t>have</w:t>
      </w:r>
      <w:r w:rsidR="007E4B37" w:rsidRPr="00CD4CEA">
        <w:rPr>
          <w:rFonts w:cstheme="minorHAnsi"/>
        </w:rPr>
        <w:t xml:space="preserve"> also</w:t>
      </w:r>
      <w:r w:rsidRPr="00CD4CEA">
        <w:rPr>
          <w:rFonts w:cstheme="minorHAnsi"/>
        </w:rPr>
        <w:t xml:space="preserve"> been manipulated to track, attack, and discredit people </w:t>
      </w:r>
      <w:r w:rsidR="007E4B37" w:rsidRPr="00CD4CEA">
        <w:rPr>
          <w:rFonts w:cstheme="minorHAnsi"/>
        </w:rPr>
        <w:t xml:space="preserve">who are fighting against those abuses. The tactics that we have traditionally used to prevent and stop human rights abuses in the past seem to have lost some of their effect. </w:t>
      </w:r>
    </w:p>
    <w:p w14:paraId="26C39BFA" w14:textId="77777777" w:rsidR="00AE01D3" w:rsidRPr="00CD4CEA" w:rsidRDefault="00AE01D3">
      <w:pPr>
        <w:rPr>
          <w:rFonts w:cstheme="minorHAnsi"/>
        </w:rPr>
      </w:pPr>
    </w:p>
    <w:p w14:paraId="394386C9" w14:textId="36F8F003" w:rsidR="00365FFE" w:rsidRPr="00CD4CEA" w:rsidRDefault="00365FFE">
      <w:pPr>
        <w:rPr>
          <w:rFonts w:cstheme="minorHAnsi"/>
        </w:rPr>
      </w:pPr>
      <w:r w:rsidRPr="00CD4CEA">
        <w:rPr>
          <w:rFonts w:cstheme="minorHAnsi"/>
        </w:rPr>
        <w:t xml:space="preserve">Questions of “why” </w:t>
      </w:r>
      <w:r w:rsidR="00433FB4" w:rsidRPr="00CD4CEA">
        <w:rPr>
          <w:rFonts w:cstheme="minorHAnsi"/>
        </w:rPr>
        <w:t xml:space="preserve">tend </w:t>
      </w:r>
      <w:r w:rsidRPr="00CD4CEA">
        <w:rPr>
          <w:rFonts w:cstheme="minorHAnsi"/>
        </w:rPr>
        <w:t xml:space="preserve">to percolate when shifting resources toward human rights documentation is mentioned: What is the point if we can never arrest the perpetrators of these abuses? Why should we document if “no one” listens? Why should we do this if there is no court willing to hold a trial? </w:t>
      </w:r>
    </w:p>
    <w:p w14:paraId="6E969300" w14:textId="77777777" w:rsidR="00365FFE" w:rsidRPr="00CD4CEA" w:rsidRDefault="00365FFE">
      <w:pPr>
        <w:rPr>
          <w:rFonts w:cstheme="minorHAnsi"/>
        </w:rPr>
      </w:pPr>
    </w:p>
    <w:p w14:paraId="219259DE" w14:textId="6B7B81EC" w:rsidR="00365FFE" w:rsidRPr="00CD4CEA" w:rsidRDefault="005F02F4">
      <w:pPr>
        <w:rPr>
          <w:rFonts w:cstheme="minorHAnsi"/>
        </w:rPr>
      </w:pPr>
      <w:r w:rsidRPr="00CD4CEA">
        <w:rPr>
          <w:rFonts w:cstheme="minorHAnsi"/>
        </w:rPr>
        <w:t>This guide</w:t>
      </w:r>
      <w:r w:rsidR="00365FFE" w:rsidRPr="00CD4CEA">
        <w:rPr>
          <w:rFonts w:cstheme="minorHAnsi"/>
        </w:rPr>
        <w:t xml:space="preserve"> intend</w:t>
      </w:r>
      <w:r w:rsidRPr="00CD4CEA">
        <w:rPr>
          <w:rFonts w:cstheme="minorHAnsi"/>
        </w:rPr>
        <w:t>s to</w:t>
      </w:r>
      <w:r w:rsidR="00365FFE" w:rsidRPr="00CD4CEA">
        <w:rPr>
          <w:rFonts w:cstheme="minorHAnsi"/>
        </w:rPr>
        <w:t xml:space="preserve"> offer </w:t>
      </w:r>
      <w:r w:rsidRPr="00CD4CEA">
        <w:rPr>
          <w:rFonts w:cstheme="minorHAnsi"/>
        </w:rPr>
        <w:t xml:space="preserve">some </w:t>
      </w:r>
      <w:r w:rsidR="00365FFE" w:rsidRPr="00CD4CEA">
        <w:rPr>
          <w:rFonts w:cstheme="minorHAnsi"/>
        </w:rPr>
        <w:t xml:space="preserve">answers to these “whys” by expanding the </w:t>
      </w:r>
      <w:r w:rsidR="005C4CD9" w:rsidRPr="00CD4CEA">
        <w:rPr>
          <w:rFonts w:cstheme="minorHAnsi"/>
        </w:rPr>
        <w:t>often-narrow</w:t>
      </w:r>
      <w:r w:rsidR="00365FFE" w:rsidRPr="00CD4CEA">
        <w:rPr>
          <w:rFonts w:cstheme="minorHAnsi"/>
        </w:rPr>
        <w:t xml:space="preserve"> understanding of how human rights documentation can be used</w:t>
      </w:r>
      <w:r w:rsidR="00A169FB" w:rsidRPr="00CD4CEA">
        <w:rPr>
          <w:rFonts w:cstheme="minorHAnsi"/>
        </w:rPr>
        <w:t>,</w:t>
      </w:r>
      <w:r w:rsidR="00365FFE" w:rsidRPr="00CD4CEA">
        <w:rPr>
          <w:rFonts w:cstheme="minorHAnsi"/>
        </w:rPr>
        <w:t xml:space="preserve"> </w:t>
      </w:r>
      <w:r w:rsidR="00A169FB" w:rsidRPr="00CD4CEA">
        <w:rPr>
          <w:rFonts w:cstheme="minorHAnsi"/>
        </w:rPr>
        <w:t>and</w:t>
      </w:r>
      <w:r w:rsidR="00365FFE" w:rsidRPr="00CD4CEA">
        <w:rPr>
          <w:rFonts w:cstheme="minorHAnsi"/>
        </w:rPr>
        <w:t xml:space="preserve"> who benefits from its creation and use. It wil</w:t>
      </w:r>
      <w:r w:rsidR="00BF14D1" w:rsidRPr="00CD4CEA">
        <w:rPr>
          <w:rFonts w:cstheme="minorHAnsi"/>
        </w:rPr>
        <w:t>l dive into the increasing range of tools used in documentation efforts</w:t>
      </w:r>
      <w:r w:rsidR="00A169FB" w:rsidRPr="00CD4CEA">
        <w:rPr>
          <w:rFonts w:cstheme="minorHAnsi"/>
        </w:rPr>
        <w:t>,</w:t>
      </w:r>
      <w:r w:rsidR="00BF14D1" w:rsidRPr="00CD4CEA">
        <w:rPr>
          <w:rFonts w:cstheme="minorHAnsi"/>
        </w:rPr>
        <w:t xml:space="preserve"> as well as the varied uses and goals for documentation. </w:t>
      </w:r>
      <w:r w:rsidR="007E4B37" w:rsidRPr="00CD4CEA">
        <w:rPr>
          <w:rFonts w:cstheme="minorHAnsi"/>
        </w:rPr>
        <w:t xml:space="preserve">It </w:t>
      </w:r>
      <w:r w:rsidR="005C4CD9" w:rsidRPr="00CD4CEA">
        <w:rPr>
          <w:rFonts w:cstheme="minorHAnsi"/>
        </w:rPr>
        <w:t xml:space="preserve">also </w:t>
      </w:r>
      <w:r w:rsidR="007E4B37" w:rsidRPr="00CD4CEA">
        <w:rPr>
          <w:rFonts w:cstheme="minorHAnsi"/>
        </w:rPr>
        <w:t>examines how uses for documentation can materia</w:t>
      </w:r>
      <w:r w:rsidRPr="00CD4CEA">
        <w:rPr>
          <w:rFonts w:cstheme="minorHAnsi"/>
        </w:rPr>
        <w:t>lize over time and are not always readily apparent. A</w:t>
      </w:r>
      <w:r w:rsidR="005C4CD9" w:rsidRPr="00CD4CEA">
        <w:rPr>
          <w:rFonts w:cstheme="minorHAnsi"/>
        </w:rPr>
        <w:t>dditionally, a</w:t>
      </w:r>
      <w:r w:rsidRPr="00CD4CEA">
        <w:rPr>
          <w:rFonts w:cstheme="minorHAnsi"/>
        </w:rPr>
        <w:t xml:space="preserve">s it speaks to a more expansive documentation ecosystem, it lays out </w:t>
      </w:r>
      <w:r w:rsidR="00A169FB" w:rsidRPr="00CD4CEA">
        <w:rPr>
          <w:rFonts w:cstheme="minorHAnsi"/>
        </w:rPr>
        <w:t xml:space="preserve">in </w:t>
      </w:r>
      <w:r w:rsidR="005C4CD9" w:rsidRPr="00CD4CEA">
        <w:rPr>
          <w:rFonts w:cstheme="minorHAnsi"/>
        </w:rPr>
        <w:t>its</w:t>
      </w:r>
      <w:r w:rsidR="00A169FB" w:rsidRPr="00CD4CEA">
        <w:rPr>
          <w:rFonts w:cstheme="minorHAnsi"/>
        </w:rPr>
        <w:t xml:space="preserve"> last section </w:t>
      </w:r>
      <w:r w:rsidRPr="00CD4CEA">
        <w:rPr>
          <w:rFonts w:cstheme="minorHAnsi"/>
        </w:rPr>
        <w:t xml:space="preserve">questions to consider before, during, and after documentation efforts. </w:t>
      </w:r>
    </w:p>
    <w:p w14:paraId="068E5EA9" w14:textId="77777777" w:rsidR="00C46C7B" w:rsidRPr="00CD4CEA" w:rsidRDefault="00C46C7B">
      <w:pPr>
        <w:rPr>
          <w:rFonts w:cstheme="minorHAnsi"/>
        </w:rPr>
      </w:pPr>
    </w:p>
    <w:p w14:paraId="1ED23809" w14:textId="77777777" w:rsidR="005F02F4" w:rsidRPr="001804CA" w:rsidRDefault="005F02F4">
      <w:pPr>
        <w:rPr>
          <w:rFonts w:cstheme="minorHAnsi"/>
        </w:rPr>
      </w:pPr>
    </w:p>
    <w:p w14:paraId="01BC856B" w14:textId="100CB332" w:rsidR="00C46C7B" w:rsidRPr="00CD4CEA" w:rsidRDefault="00AE01D3">
      <w:pPr>
        <w:rPr>
          <w:rFonts w:cstheme="minorHAnsi"/>
          <w:b/>
        </w:rPr>
      </w:pPr>
      <w:r w:rsidRPr="00CD4CEA">
        <w:rPr>
          <w:rFonts w:cstheme="minorHAnsi"/>
          <w:b/>
        </w:rPr>
        <w:t xml:space="preserve">What </w:t>
      </w:r>
      <w:r w:rsidR="00A169FB" w:rsidRPr="00CD4CEA">
        <w:rPr>
          <w:rFonts w:cstheme="minorHAnsi"/>
          <w:b/>
        </w:rPr>
        <w:t>T</w:t>
      </w:r>
      <w:r w:rsidRPr="00CD4CEA">
        <w:rPr>
          <w:rFonts w:cstheme="minorHAnsi"/>
          <w:b/>
        </w:rPr>
        <w:t>his G</w:t>
      </w:r>
      <w:r w:rsidR="00C46C7B" w:rsidRPr="00CD4CEA">
        <w:rPr>
          <w:rFonts w:cstheme="minorHAnsi"/>
          <w:b/>
        </w:rPr>
        <w:t xml:space="preserve">uide is and </w:t>
      </w:r>
      <w:r w:rsidR="00A169FB" w:rsidRPr="00CD4CEA">
        <w:rPr>
          <w:rFonts w:cstheme="minorHAnsi"/>
          <w:b/>
        </w:rPr>
        <w:t>W</w:t>
      </w:r>
      <w:r w:rsidR="00C46C7B" w:rsidRPr="00CD4CEA">
        <w:rPr>
          <w:rFonts w:cstheme="minorHAnsi"/>
          <w:b/>
        </w:rPr>
        <w:t xml:space="preserve">hat it is </w:t>
      </w:r>
      <w:r w:rsidR="00A169FB" w:rsidRPr="00CD4CEA">
        <w:rPr>
          <w:rFonts w:cstheme="minorHAnsi"/>
          <w:b/>
        </w:rPr>
        <w:t>No</w:t>
      </w:r>
      <w:r w:rsidR="00C46C7B" w:rsidRPr="00CD4CEA">
        <w:rPr>
          <w:rFonts w:cstheme="minorHAnsi"/>
          <w:b/>
        </w:rPr>
        <w:t xml:space="preserve">t </w:t>
      </w:r>
      <w:r w:rsidR="00C46C7B" w:rsidRPr="00CD4CEA">
        <w:rPr>
          <w:rFonts w:cstheme="minorHAnsi"/>
        </w:rPr>
        <w:t xml:space="preserve"> </w:t>
      </w:r>
    </w:p>
    <w:p w14:paraId="38570CAC" w14:textId="02150199" w:rsidR="00C46C7B" w:rsidRPr="00CD4CEA" w:rsidRDefault="00C46C7B">
      <w:pPr>
        <w:rPr>
          <w:rFonts w:cstheme="minorHAnsi"/>
        </w:rPr>
      </w:pPr>
      <w:r w:rsidRPr="00CD4CEA">
        <w:rPr>
          <w:rFonts w:cstheme="minorHAnsi"/>
        </w:rPr>
        <w:t xml:space="preserve">This </w:t>
      </w:r>
      <w:r w:rsidR="00A169FB" w:rsidRPr="00CD4CEA">
        <w:rPr>
          <w:rFonts w:cstheme="minorHAnsi"/>
        </w:rPr>
        <w:t>g</w:t>
      </w:r>
      <w:r w:rsidRPr="00CD4CEA">
        <w:rPr>
          <w:rFonts w:cstheme="minorHAnsi"/>
        </w:rPr>
        <w:t>uide is not meant to be an inclusive handbook or manual on how to conduct documentation eff</w:t>
      </w:r>
      <w:r w:rsidR="00B57A08" w:rsidRPr="00CD4CEA">
        <w:rPr>
          <w:rFonts w:cstheme="minorHAnsi"/>
        </w:rPr>
        <w:t>orts. It is an overview to documentation efforts, how they can be conducted, and how documentation can be used. Should you want to dive into more detailed manuals, there is a comprehensive resource list in section VI</w:t>
      </w:r>
      <w:r w:rsidR="00F17564">
        <w:rPr>
          <w:rFonts w:cstheme="minorHAnsi"/>
        </w:rPr>
        <w:t>I</w:t>
      </w:r>
      <w:r w:rsidR="00B57A08" w:rsidRPr="00CD4CEA">
        <w:rPr>
          <w:rFonts w:cstheme="minorHAnsi"/>
        </w:rPr>
        <w:t xml:space="preserve">. </w:t>
      </w:r>
    </w:p>
    <w:p w14:paraId="7E8E022B" w14:textId="77777777" w:rsidR="00B57A08" w:rsidRPr="00CD4CEA" w:rsidRDefault="00B57A08">
      <w:pPr>
        <w:rPr>
          <w:rFonts w:cstheme="minorHAnsi"/>
        </w:rPr>
      </w:pPr>
    </w:p>
    <w:p w14:paraId="28F61ABE" w14:textId="669167FA" w:rsidR="00B57A08" w:rsidRPr="00CD4CEA" w:rsidRDefault="00B57A08">
      <w:pPr>
        <w:rPr>
          <w:rFonts w:cstheme="minorHAnsi"/>
        </w:rPr>
      </w:pPr>
      <w:r w:rsidRPr="00CD4CEA">
        <w:rPr>
          <w:rFonts w:cstheme="minorHAnsi"/>
        </w:rPr>
        <w:t xml:space="preserve">This </w:t>
      </w:r>
      <w:r w:rsidR="00A169FB" w:rsidRPr="00CD4CEA">
        <w:rPr>
          <w:rFonts w:cstheme="minorHAnsi"/>
        </w:rPr>
        <w:t xml:space="preserve">guide </w:t>
      </w:r>
      <w:r w:rsidRPr="00CD4CEA">
        <w:rPr>
          <w:rFonts w:cstheme="minorHAnsi"/>
        </w:rPr>
        <w:t>is intended to show the range of documentati</w:t>
      </w:r>
      <w:r w:rsidR="00DB2B20" w:rsidRPr="00CD4CEA">
        <w:rPr>
          <w:rFonts w:cstheme="minorHAnsi"/>
        </w:rPr>
        <w:t>on efforts that are possible: both in terms of tools and in terms of purpose. It is also meant to demonstrate the need for multiple types of documentation efforts and how these efforts can ultimately be complementary and to the larger benefit of affect</w:t>
      </w:r>
      <w:r w:rsidR="00A169FB" w:rsidRPr="00CD4CEA">
        <w:rPr>
          <w:rFonts w:cstheme="minorHAnsi"/>
        </w:rPr>
        <w:t>ed</w:t>
      </w:r>
      <w:r w:rsidR="00DB2B20" w:rsidRPr="00CD4CEA">
        <w:rPr>
          <w:rFonts w:cstheme="minorHAnsi"/>
        </w:rPr>
        <w:t xml:space="preserve"> communities and their allies. Lastly, it aims to show that while the importance of documentation may not</w:t>
      </w:r>
      <w:r w:rsidR="0093672D" w:rsidRPr="00CD4CEA">
        <w:rPr>
          <w:rFonts w:cstheme="minorHAnsi"/>
        </w:rPr>
        <w:t xml:space="preserve"> always</w:t>
      </w:r>
      <w:r w:rsidR="00DB2B20" w:rsidRPr="00CD4CEA">
        <w:rPr>
          <w:rFonts w:cstheme="minorHAnsi"/>
        </w:rPr>
        <w:t xml:space="preserve"> reveal itself in the short-term, </w:t>
      </w:r>
      <w:r w:rsidR="0093672D" w:rsidRPr="00CD4CEA">
        <w:rPr>
          <w:rFonts w:cstheme="minorHAnsi"/>
        </w:rPr>
        <w:t xml:space="preserve">uses often emerge in the </w:t>
      </w:r>
      <w:r w:rsidR="00DB2B20" w:rsidRPr="00CD4CEA">
        <w:rPr>
          <w:rFonts w:cstheme="minorHAnsi"/>
        </w:rPr>
        <w:t xml:space="preserve">mid- and long-term. Human rights documentation is not only useful in the immediate conflict and </w:t>
      </w:r>
      <w:r w:rsidR="00A00E17">
        <w:rPr>
          <w:rFonts w:cstheme="minorHAnsi"/>
        </w:rPr>
        <w:t xml:space="preserve">its </w:t>
      </w:r>
      <w:r w:rsidR="00DB2B20" w:rsidRPr="00CD4CEA">
        <w:rPr>
          <w:rFonts w:cstheme="minorHAnsi"/>
        </w:rPr>
        <w:t>aftermath, it can be</w:t>
      </w:r>
      <w:r w:rsidR="00CA017A">
        <w:rPr>
          <w:rFonts w:cstheme="minorHAnsi"/>
        </w:rPr>
        <w:t xml:space="preserve"> </w:t>
      </w:r>
      <w:r w:rsidR="00DB2B20" w:rsidRPr="00CD4CEA">
        <w:rPr>
          <w:rFonts w:cstheme="minorHAnsi"/>
        </w:rPr>
        <w:t>–</w:t>
      </w:r>
      <w:r w:rsidR="00CA017A">
        <w:rPr>
          <w:rFonts w:cstheme="minorHAnsi"/>
        </w:rPr>
        <w:t xml:space="preserve"> </w:t>
      </w:r>
      <w:r w:rsidR="00DB2B20" w:rsidRPr="00CD4CEA">
        <w:rPr>
          <w:rFonts w:cstheme="minorHAnsi"/>
        </w:rPr>
        <w:t>if handled properly</w:t>
      </w:r>
      <w:r w:rsidR="00CA017A">
        <w:rPr>
          <w:rFonts w:cstheme="minorHAnsi"/>
        </w:rPr>
        <w:t xml:space="preserve"> </w:t>
      </w:r>
      <w:r w:rsidR="00DB2B20" w:rsidRPr="00CD4CEA">
        <w:rPr>
          <w:rFonts w:cstheme="minorHAnsi"/>
        </w:rPr>
        <w:t>–</w:t>
      </w:r>
      <w:r w:rsidR="00CA017A">
        <w:rPr>
          <w:rFonts w:cstheme="minorHAnsi"/>
        </w:rPr>
        <w:t xml:space="preserve"> </w:t>
      </w:r>
      <w:r w:rsidR="00DB2B20" w:rsidRPr="00CD4CEA">
        <w:rPr>
          <w:rFonts w:cstheme="minorHAnsi"/>
        </w:rPr>
        <w:t xml:space="preserve">used for a host of justice and accountability initiatives over time.  </w:t>
      </w:r>
    </w:p>
    <w:p w14:paraId="046CACE4" w14:textId="77777777" w:rsidR="00BF14D1" w:rsidRPr="00CD4CEA" w:rsidRDefault="00BF14D1">
      <w:pPr>
        <w:rPr>
          <w:rFonts w:cstheme="minorHAnsi"/>
        </w:rPr>
      </w:pPr>
    </w:p>
    <w:p w14:paraId="58314D57" w14:textId="77777777" w:rsidR="0010028C" w:rsidRPr="00CD4CEA" w:rsidRDefault="0010028C">
      <w:pPr>
        <w:rPr>
          <w:rFonts w:cstheme="minorHAnsi"/>
        </w:rPr>
      </w:pPr>
    </w:p>
    <w:p w14:paraId="7670EA61" w14:textId="77777777" w:rsidR="00DD4E2D" w:rsidRPr="00CD4CEA" w:rsidRDefault="00DD4E2D">
      <w:pPr>
        <w:rPr>
          <w:rFonts w:cstheme="minorHAnsi"/>
          <w:b/>
        </w:rPr>
      </w:pPr>
      <w:r w:rsidRPr="00CD4CEA">
        <w:rPr>
          <w:rFonts w:cstheme="minorHAnsi"/>
          <w:b/>
        </w:rPr>
        <w:br w:type="page"/>
      </w:r>
    </w:p>
    <w:p w14:paraId="64DC7B08" w14:textId="77777777" w:rsidR="005822BD" w:rsidRPr="00CD4CEA" w:rsidRDefault="00D9317A">
      <w:pPr>
        <w:rPr>
          <w:rFonts w:cstheme="minorHAnsi"/>
          <w:b/>
          <w:smallCaps/>
        </w:rPr>
      </w:pPr>
      <w:r w:rsidRPr="00CD4CEA">
        <w:rPr>
          <w:rFonts w:cstheme="minorHAnsi"/>
          <w:b/>
          <w:smallCaps/>
        </w:rPr>
        <w:lastRenderedPageBreak/>
        <w:t>II. Defining Human Rights Documentation</w:t>
      </w:r>
    </w:p>
    <w:p w14:paraId="7968BC0B" w14:textId="77777777" w:rsidR="00D9317A" w:rsidRPr="00CD4CEA" w:rsidRDefault="00D9317A">
      <w:pPr>
        <w:rPr>
          <w:rFonts w:cstheme="minorHAnsi"/>
          <w:b/>
        </w:rPr>
      </w:pPr>
    </w:p>
    <w:p w14:paraId="4202DF8B" w14:textId="30935BC1" w:rsidR="00BF14D1" w:rsidRPr="00CD4CEA" w:rsidRDefault="00BF14D1">
      <w:pPr>
        <w:rPr>
          <w:rFonts w:cstheme="minorHAnsi"/>
          <w:b/>
        </w:rPr>
      </w:pPr>
      <w:r w:rsidRPr="00CD4CEA">
        <w:rPr>
          <w:rFonts w:cstheme="minorHAnsi"/>
          <w:b/>
        </w:rPr>
        <w:t xml:space="preserve">What is </w:t>
      </w:r>
      <w:r w:rsidR="00563477" w:rsidRPr="00CD4CEA">
        <w:rPr>
          <w:rFonts w:cstheme="minorHAnsi"/>
          <w:b/>
        </w:rPr>
        <w:t>H</w:t>
      </w:r>
      <w:r w:rsidRPr="00CD4CEA">
        <w:rPr>
          <w:rFonts w:cstheme="minorHAnsi"/>
          <w:b/>
        </w:rPr>
        <w:t xml:space="preserve">uman </w:t>
      </w:r>
      <w:r w:rsidR="00563477" w:rsidRPr="00CD4CEA">
        <w:rPr>
          <w:rFonts w:cstheme="minorHAnsi"/>
          <w:b/>
        </w:rPr>
        <w:t>R</w:t>
      </w:r>
      <w:r w:rsidRPr="00CD4CEA">
        <w:rPr>
          <w:rFonts w:cstheme="minorHAnsi"/>
          <w:b/>
        </w:rPr>
        <w:t xml:space="preserve">ights </w:t>
      </w:r>
      <w:r w:rsidR="00563477" w:rsidRPr="00CD4CEA">
        <w:rPr>
          <w:rFonts w:cstheme="minorHAnsi"/>
          <w:b/>
        </w:rPr>
        <w:t>D</w:t>
      </w:r>
      <w:r w:rsidRPr="00CD4CEA">
        <w:rPr>
          <w:rFonts w:cstheme="minorHAnsi"/>
          <w:b/>
        </w:rPr>
        <w:t xml:space="preserve">ocumentation? </w:t>
      </w:r>
    </w:p>
    <w:p w14:paraId="0346A08E" w14:textId="5A3017A7" w:rsidR="00BF14D1" w:rsidRPr="00CD4CEA" w:rsidRDefault="00A26A0C">
      <w:pPr>
        <w:rPr>
          <w:rFonts w:cstheme="minorHAnsi"/>
        </w:rPr>
      </w:pPr>
      <w:r w:rsidRPr="00CD4CEA">
        <w:rPr>
          <w:rFonts w:cstheme="minorHAnsi"/>
        </w:rPr>
        <w:t xml:space="preserve">Documentation can </w:t>
      </w:r>
      <w:r w:rsidRPr="001804CA">
        <w:rPr>
          <w:rFonts w:cstheme="minorHAnsi"/>
        </w:rPr>
        <w:t>–</w:t>
      </w:r>
      <w:r w:rsidRPr="00CD4CEA">
        <w:rPr>
          <w:rFonts w:cstheme="minorHAnsi"/>
        </w:rPr>
        <w:t xml:space="preserve"> and does </w:t>
      </w:r>
      <w:r w:rsidRPr="001804CA">
        <w:rPr>
          <w:rFonts w:cstheme="minorHAnsi"/>
        </w:rPr>
        <w:t>–</w:t>
      </w:r>
      <w:r w:rsidRPr="00CD4CEA">
        <w:rPr>
          <w:rFonts w:cstheme="minorHAnsi"/>
        </w:rPr>
        <w:t xml:space="preserve"> happen </w:t>
      </w:r>
      <w:r w:rsidR="001804CA">
        <w:rPr>
          <w:rFonts w:cstheme="minorHAnsi"/>
        </w:rPr>
        <w:t xml:space="preserve">with </w:t>
      </w:r>
      <w:r w:rsidRPr="00CD4CEA">
        <w:rPr>
          <w:rFonts w:cstheme="minorHAnsi"/>
        </w:rPr>
        <w:t>any eve</w:t>
      </w:r>
      <w:r w:rsidR="005822BD" w:rsidRPr="00CD4CEA">
        <w:rPr>
          <w:rFonts w:cstheme="minorHAnsi"/>
        </w:rPr>
        <w:t>nt. At its most basic level, documentation</w:t>
      </w:r>
      <w:r w:rsidRPr="00CD4CEA">
        <w:rPr>
          <w:rFonts w:cstheme="minorHAnsi"/>
        </w:rPr>
        <w:t xml:space="preserve"> is a process of recording facts and producing</w:t>
      </w:r>
      <w:r w:rsidR="005822BD" w:rsidRPr="00CD4CEA">
        <w:rPr>
          <w:rFonts w:cstheme="minorHAnsi"/>
        </w:rPr>
        <w:t xml:space="preserve"> and/or collecting</w:t>
      </w:r>
      <w:r w:rsidRPr="00CD4CEA">
        <w:rPr>
          <w:rFonts w:cstheme="minorHAnsi"/>
        </w:rPr>
        <w:t xml:space="preserve"> </w:t>
      </w:r>
      <w:r w:rsidR="0093672D" w:rsidRPr="00CD4CEA">
        <w:rPr>
          <w:rFonts w:cstheme="minorHAnsi"/>
        </w:rPr>
        <w:t xml:space="preserve">information </w:t>
      </w:r>
      <w:r w:rsidRPr="00CD4CEA">
        <w:rPr>
          <w:rFonts w:cstheme="minorHAnsi"/>
        </w:rPr>
        <w:t xml:space="preserve">related to a specific event or series of events. In a 2003 report seeking to make sense of the various definitions that its staff and partners were using, the </w:t>
      </w:r>
      <w:r w:rsidR="0093672D" w:rsidRPr="00CD4CEA">
        <w:rPr>
          <w:rFonts w:cstheme="minorHAnsi"/>
        </w:rPr>
        <w:t>non-governmental organization (</w:t>
      </w:r>
      <w:r w:rsidRPr="00CD4CEA">
        <w:rPr>
          <w:rFonts w:cstheme="minorHAnsi"/>
        </w:rPr>
        <w:t>NGO</w:t>
      </w:r>
      <w:r w:rsidR="0093672D" w:rsidRPr="00CD4CEA">
        <w:rPr>
          <w:rFonts w:cstheme="minorHAnsi"/>
        </w:rPr>
        <w:t>)</w:t>
      </w:r>
      <w:r w:rsidR="00EF2509" w:rsidRPr="00CD4CEA">
        <w:rPr>
          <w:rFonts w:cstheme="minorHAnsi"/>
        </w:rPr>
        <w:t xml:space="preserve"> Human Rights Information and Documentation Systems (more commonly known as</w:t>
      </w:r>
      <w:r w:rsidRPr="00CD4CEA">
        <w:rPr>
          <w:rFonts w:cstheme="minorHAnsi"/>
        </w:rPr>
        <w:t xml:space="preserve"> </w:t>
      </w:r>
      <w:r w:rsidR="00563477" w:rsidRPr="00CD4CEA">
        <w:rPr>
          <w:rFonts w:cstheme="minorHAnsi"/>
        </w:rPr>
        <w:t>HURIDOCS</w:t>
      </w:r>
      <w:r w:rsidR="00EF2509" w:rsidRPr="00CD4CEA">
        <w:rPr>
          <w:rFonts w:cstheme="minorHAnsi"/>
        </w:rPr>
        <w:t>)</w:t>
      </w:r>
      <w:r w:rsidR="00563477" w:rsidRPr="00CD4CEA">
        <w:rPr>
          <w:rFonts w:cstheme="minorHAnsi"/>
        </w:rPr>
        <w:t xml:space="preserve"> </w:t>
      </w:r>
      <w:r w:rsidRPr="00CD4CEA">
        <w:rPr>
          <w:rFonts w:cstheme="minorHAnsi"/>
        </w:rPr>
        <w:t xml:space="preserve">came up with the following definition: </w:t>
      </w:r>
    </w:p>
    <w:p w14:paraId="478A1EE2" w14:textId="77777777" w:rsidR="00A26A0C" w:rsidRPr="00CD4CEA" w:rsidRDefault="00A26A0C">
      <w:pPr>
        <w:rPr>
          <w:rFonts w:cstheme="minorHAnsi"/>
        </w:rPr>
      </w:pPr>
    </w:p>
    <w:p w14:paraId="18CF9FE5" w14:textId="77777777" w:rsidR="00A26A0C" w:rsidRPr="00CD4CEA" w:rsidRDefault="00A26A0C" w:rsidP="00800A97">
      <w:pPr>
        <w:spacing w:after="120"/>
        <w:rPr>
          <w:rFonts w:cstheme="minorHAnsi"/>
        </w:rPr>
      </w:pPr>
      <w:r w:rsidRPr="00CD4CEA">
        <w:rPr>
          <w:rFonts w:cstheme="minorHAnsi"/>
        </w:rPr>
        <w:t xml:space="preserve">Documentation is a process consisting of several activities, namely: </w:t>
      </w:r>
    </w:p>
    <w:p w14:paraId="7035CBDC" w14:textId="77777777" w:rsidR="00800A97" w:rsidRPr="00CD4CEA" w:rsidRDefault="00A26A0C" w:rsidP="00800A97">
      <w:pPr>
        <w:pStyle w:val="ListParagraph"/>
        <w:numPr>
          <w:ilvl w:val="1"/>
          <w:numId w:val="1"/>
        </w:numPr>
        <w:spacing w:after="120"/>
        <w:ind w:left="714" w:hanging="357"/>
        <w:rPr>
          <w:rFonts w:cstheme="minorHAnsi"/>
        </w:rPr>
      </w:pPr>
      <w:r w:rsidRPr="00CD4CEA">
        <w:rPr>
          <w:rFonts w:cstheme="minorHAnsi"/>
        </w:rPr>
        <w:t xml:space="preserve">Determining what information is needed and establishing means for acquiring it; </w:t>
      </w:r>
    </w:p>
    <w:p w14:paraId="5ADAB58D" w14:textId="77777777" w:rsidR="00A26A0C" w:rsidRPr="00CD4CEA" w:rsidRDefault="00A26A0C" w:rsidP="00800A97">
      <w:pPr>
        <w:pStyle w:val="ListParagraph"/>
        <w:numPr>
          <w:ilvl w:val="1"/>
          <w:numId w:val="1"/>
        </w:numPr>
        <w:spacing w:after="120"/>
        <w:ind w:left="714" w:hanging="357"/>
        <w:rPr>
          <w:rFonts w:cstheme="minorHAnsi"/>
        </w:rPr>
      </w:pPr>
      <w:r w:rsidRPr="00CD4CEA">
        <w:rPr>
          <w:rFonts w:cstheme="minorHAnsi"/>
        </w:rPr>
        <w:t xml:space="preserve">Recording </w:t>
      </w:r>
      <w:r w:rsidR="005822BD" w:rsidRPr="00CD4CEA">
        <w:rPr>
          <w:rFonts w:cstheme="minorHAnsi"/>
        </w:rPr>
        <w:t>[and storing]</w:t>
      </w:r>
      <w:r w:rsidRPr="00CD4CEA">
        <w:rPr>
          <w:rFonts w:cstheme="minorHAnsi"/>
        </w:rPr>
        <w:t xml:space="preserve"> discove</w:t>
      </w:r>
      <w:r w:rsidR="005822BD" w:rsidRPr="00CD4CEA">
        <w:rPr>
          <w:rFonts w:cstheme="minorHAnsi"/>
        </w:rPr>
        <w:t>red information […]</w:t>
      </w:r>
      <w:r w:rsidRPr="00CD4CEA">
        <w:rPr>
          <w:rFonts w:cstheme="minorHAnsi"/>
        </w:rPr>
        <w:t xml:space="preserve"> or collecting already-existing documents containing the needed information; </w:t>
      </w:r>
    </w:p>
    <w:p w14:paraId="1373BB2A" w14:textId="02084627" w:rsidR="00A26A0C" w:rsidRPr="00CD4CEA" w:rsidRDefault="00A26A0C" w:rsidP="00800A97">
      <w:pPr>
        <w:pStyle w:val="ListParagraph"/>
        <w:numPr>
          <w:ilvl w:val="1"/>
          <w:numId w:val="1"/>
        </w:numPr>
        <w:spacing w:after="120"/>
        <w:ind w:left="714" w:hanging="357"/>
        <w:rPr>
          <w:rFonts w:cstheme="minorHAnsi"/>
        </w:rPr>
      </w:pPr>
      <w:r w:rsidRPr="00CD4CEA">
        <w:rPr>
          <w:rFonts w:cstheme="minorHAnsi"/>
        </w:rPr>
        <w:t>Organi</w:t>
      </w:r>
      <w:r w:rsidR="00B33E38">
        <w:rPr>
          <w:rFonts w:cstheme="minorHAnsi"/>
        </w:rPr>
        <w:t>z</w:t>
      </w:r>
      <w:r w:rsidRPr="00CD4CEA">
        <w:rPr>
          <w:rFonts w:cstheme="minorHAnsi"/>
        </w:rPr>
        <w:t xml:space="preserve">ing the documents to make them more accessible; and </w:t>
      </w:r>
    </w:p>
    <w:p w14:paraId="59E00509" w14:textId="77777777" w:rsidR="005822BD" w:rsidRPr="00CD4CEA" w:rsidRDefault="00A26A0C" w:rsidP="00800A97">
      <w:pPr>
        <w:pStyle w:val="ListParagraph"/>
        <w:numPr>
          <w:ilvl w:val="1"/>
          <w:numId w:val="1"/>
        </w:numPr>
        <w:spacing w:after="120"/>
        <w:ind w:left="714" w:hanging="357"/>
        <w:rPr>
          <w:rFonts w:cstheme="minorHAnsi"/>
        </w:rPr>
      </w:pPr>
      <w:r w:rsidRPr="00CD4CEA">
        <w:rPr>
          <w:rFonts w:cstheme="minorHAnsi"/>
        </w:rPr>
        <w:t xml:space="preserve">Actually </w:t>
      </w:r>
      <w:r w:rsidR="005822BD" w:rsidRPr="00CD4CEA">
        <w:rPr>
          <w:rFonts w:cstheme="minorHAnsi"/>
        </w:rPr>
        <w:t>providing the information to users in need of it</w:t>
      </w:r>
      <w:r w:rsidRPr="00CD4CEA">
        <w:rPr>
          <w:rFonts w:cstheme="minorHAnsi"/>
        </w:rPr>
        <w:t>.</w:t>
      </w:r>
      <w:r w:rsidR="005822BD" w:rsidRPr="00CD4CEA">
        <w:rPr>
          <w:rStyle w:val="FootnoteReference"/>
          <w:rFonts w:cstheme="minorHAnsi"/>
        </w:rPr>
        <w:footnoteReference w:id="1"/>
      </w:r>
    </w:p>
    <w:p w14:paraId="022E0EC1" w14:textId="77777777" w:rsidR="00A26A0C" w:rsidRPr="00CD4CEA" w:rsidRDefault="00A26A0C" w:rsidP="005822BD">
      <w:pPr>
        <w:pStyle w:val="ListParagraph"/>
        <w:ind w:left="2880"/>
        <w:rPr>
          <w:rFonts w:cstheme="minorHAnsi"/>
        </w:rPr>
      </w:pPr>
      <w:r w:rsidRPr="00CD4CEA">
        <w:rPr>
          <w:rFonts w:cstheme="minorHAnsi"/>
        </w:rPr>
        <w:t xml:space="preserve"> </w:t>
      </w:r>
    </w:p>
    <w:p w14:paraId="3BF8A57B" w14:textId="37B43AB0" w:rsidR="005822BD" w:rsidRPr="00CD4CEA" w:rsidRDefault="005822BD" w:rsidP="00A26A0C">
      <w:pPr>
        <w:rPr>
          <w:rFonts w:cstheme="minorHAnsi"/>
        </w:rPr>
      </w:pPr>
      <w:r w:rsidRPr="00CD4CEA">
        <w:rPr>
          <w:rFonts w:cstheme="minorHAnsi"/>
        </w:rPr>
        <w:t xml:space="preserve">Taking this definition into the human rights space, documentation can be defined as a way of knowing, </w:t>
      </w:r>
      <w:r w:rsidR="0093672D" w:rsidRPr="00CD4CEA">
        <w:rPr>
          <w:rFonts w:cstheme="minorHAnsi"/>
        </w:rPr>
        <w:t>obtaining</w:t>
      </w:r>
      <w:r w:rsidRPr="00CD4CEA">
        <w:rPr>
          <w:rFonts w:cstheme="minorHAnsi"/>
        </w:rPr>
        <w:t>, organi</w:t>
      </w:r>
      <w:r w:rsidR="0093672D" w:rsidRPr="00CD4CEA">
        <w:rPr>
          <w:rFonts w:cstheme="minorHAnsi"/>
        </w:rPr>
        <w:t>zi</w:t>
      </w:r>
      <w:r w:rsidRPr="00CD4CEA">
        <w:rPr>
          <w:rFonts w:cstheme="minorHAnsi"/>
        </w:rPr>
        <w:t>ng, preserving, understanding, and using information on human rights abuses.</w:t>
      </w:r>
      <w:r w:rsidRPr="00CD4CEA">
        <w:rPr>
          <w:rStyle w:val="FootnoteReference"/>
          <w:rFonts w:cstheme="minorHAnsi"/>
        </w:rPr>
        <w:footnoteReference w:id="2"/>
      </w:r>
      <w:r w:rsidRPr="00CD4CEA">
        <w:rPr>
          <w:rFonts w:cstheme="minorHAnsi"/>
        </w:rPr>
        <w:t xml:space="preserve"> </w:t>
      </w:r>
    </w:p>
    <w:p w14:paraId="4CF12F56" w14:textId="77777777" w:rsidR="00DB2406" w:rsidRPr="00CD4CEA" w:rsidRDefault="00DB2406">
      <w:pPr>
        <w:rPr>
          <w:rFonts w:cstheme="minorHAnsi"/>
        </w:rPr>
      </w:pPr>
    </w:p>
    <w:p w14:paraId="5BB1C3F1" w14:textId="77777777" w:rsidR="00862DC6" w:rsidRPr="00CD4CEA" w:rsidRDefault="00862DC6">
      <w:pPr>
        <w:rPr>
          <w:rFonts w:cstheme="minorHAnsi"/>
        </w:rPr>
      </w:pPr>
    </w:p>
    <w:p w14:paraId="4DB6DC40" w14:textId="407A1C61" w:rsidR="00862DC6" w:rsidRPr="00CD4CEA" w:rsidRDefault="00E73F29">
      <w:pPr>
        <w:rPr>
          <w:rFonts w:cstheme="minorHAnsi"/>
          <w:b/>
        </w:rPr>
      </w:pPr>
      <w:r w:rsidRPr="00CD4CEA">
        <w:rPr>
          <w:rFonts w:cstheme="minorHAnsi"/>
          <w:b/>
        </w:rPr>
        <w:t xml:space="preserve">Building Understanding of a Situation: </w:t>
      </w:r>
      <w:r w:rsidR="00862DC6" w:rsidRPr="00CD4CEA">
        <w:rPr>
          <w:rFonts w:cstheme="minorHAnsi"/>
          <w:b/>
        </w:rPr>
        <w:t>Data, Informa</w:t>
      </w:r>
      <w:r w:rsidRPr="00CD4CEA">
        <w:rPr>
          <w:rFonts w:cstheme="minorHAnsi"/>
          <w:b/>
        </w:rPr>
        <w:t xml:space="preserve">tion, Evidence, and Knowledge </w:t>
      </w:r>
    </w:p>
    <w:p w14:paraId="7B2C6C12" w14:textId="1D46FC6C" w:rsidR="00D206EC" w:rsidRPr="00CD4CEA" w:rsidRDefault="00B17E7E">
      <w:pPr>
        <w:rPr>
          <w:rFonts w:cstheme="minorHAnsi"/>
        </w:rPr>
      </w:pPr>
      <w:r w:rsidRPr="00CD4CEA">
        <w:rPr>
          <w:rFonts w:cstheme="minorHAnsi"/>
        </w:rPr>
        <w:t>Another way to explain human rights documentation is as a process to gain understanding and knowledge about a certain set of events. The process of documenting huma</w:t>
      </w:r>
      <w:r w:rsidR="00F60446" w:rsidRPr="00CD4CEA">
        <w:rPr>
          <w:rFonts w:cstheme="minorHAnsi"/>
        </w:rPr>
        <w:t xml:space="preserve">n rights abuses takes pieces of gathered </w:t>
      </w:r>
      <w:r w:rsidRPr="00CD4CEA">
        <w:rPr>
          <w:rFonts w:cstheme="minorHAnsi"/>
        </w:rPr>
        <w:t>data and moves them t</w:t>
      </w:r>
      <w:r w:rsidR="00B81C29" w:rsidRPr="00CD4CEA">
        <w:rPr>
          <w:rFonts w:cstheme="minorHAnsi"/>
        </w:rPr>
        <w:t xml:space="preserve">hrough the knowledge hierarchy, </w:t>
      </w:r>
      <w:r w:rsidR="0093672D" w:rsidRPr="00CD4CEA">
        <w:rPr>
          <w:rFonts w:cstheme="minorHAnsi"/>
        </w:rPr>
        <w:t xml:space="preserve">first </w:t>
      </w:r>
      <w:r w:rsidR="00B81C29" w:rsidRPr="00CD4CEA">
        <w:rPr>
          <w:rFonts w:cstheme="minorHAnsi"/>
        </w:rPr>
        <w:t xml:space="preserve">introduced by Russell </w:t>
      </w:r>
      <w:r w:rsidR="00216840" w:rsidRPr="00CD4CEA">
        <w:rPr>
          <w:rFonts w:cstheme="minorHAnsi"/>
        </w:rPr>
        <w:t xml:space="preserve">L. </w:t>
      </w:r>
      <w:proofErr w:type="spellStart"/>
      <w:r w:rsidR="00B81C29" w:rsidRPr="00CD4CEA">
        <w:rPr>
          <w:rFonts w:cstheme="minorHAnsi"/>
        </w:rPr>
        <w:t>Ackoff</w:t>
      </w:r>
      <w:proofErr w:type="spellEnd"/>
      <w:r w:rsidR="00B81C29" w:rsidRPr="00CD4CEA">
        <w:rPr>
          <w:rFonts w:cstheme="minorHAnsi"/>
        </w:rPr>
        <w:t>.</w:t>
      </w:r>
      <w:r w:rsidR="00B81C29" w:rsidRPr="00CD4CEA">
        <w:rPr>
          <w:rStyle w:val="FootnoteReference"/>
          <w:rFonts w:cstheme="minorHAnsi"/>
        </w:rPr>
        <w:footnoteReference w:id="3"/>
      </w:r>
      <w:r w:rsidR="00B81C29" w:rsidRPr="00CD4CEA">
        <w:rPr>
          <w:rFonts w:cstheme="minorHAnsi"/>
        </w:rPr>
        <w:t xml:space="preserve"> </w:t>
      </w:r>
      <w:r w:rsidR="00F60446" w:rsidRPr="00CD4CEA">
        <w:rPr>
          <w:rFonts w:cstheme="minorHAnsi"/>
        </w:rPr>
        <w:t>We often use the words data, information, evidence, and knowledge interchangeably; however</w:t>
      </w:r>
      <w:r w:rsidR="00A601EE" w:rsidRPr="00CD4CEA">
        <w:rPr>
          <w:rFonts w:cstheme="minorHAnsi"/>
        </w:rPr>
        <w:t>,</w:t>
      </w:r>
      <w:r w:rsidR="00F60446" w:rsidRPr="00CD4CEA">
        <w:rPr>
          <w:rFonts w:cstheme="minorHAnsi"/>
        </w:rPr>
        <w:t xml:space="preserve"> they are distinct terms </w:t>
      </w:r>
      <w:r w:rsidR="00BE46CC" w:rsidRPr="00CD4CEA">
        <w:rPr>
          <w:rFonts w:cstheme="minorHAnsi"/>
        </w:rPr>
        <w:t>with</w:t>
      </w:r>
      <w:r w:rsidR="00F60446" w:rsidRPr="00CD4CEA">
        <w:rPr>
          <w:rFonts w:cstheme="minorHAnsi"/>
        </w:rPr>
        <w:t xml:space="preserve"> specific meanings. While it may seem esoteric to dive into these distinctions, the moving of events-based data </w:t>
      </w:r>
      <w:r w:rsidR="00F60446" w:rsidRPr="003F449B">
        <w:rPr>
          <w:rFonts w:cstheme="minorHAnsi"/>
        </w:rPr>
        <w:t>– like that at the core of human rights documentation – through the knowledge hierarchy demonstr</w:t>
      </w:r>
      <w:r w:rsidR="00F60446" w:rsidRPr="00CD4CEA">
        <w:rPr>
          <w:rFonts w:cstheme="minorHAnsi"/>
        </w:rPr>
        <w:t xml:space="preserve">ates </w:t>
      </w:r>
      <w:r w:rsidR="00EA429A" w:rsidRPr="00CD4CEA">
        <w:rPr>
          <w:rFonts w:cstheme="minorHAnsi"/>
        </w:rPr>
        <w:t xml:space="preserve">what it takes for the raw data we collect </w:t>
      </w:r>
      <w:r w:rsidR="00F60446" w:rsidRPr="00CD4CEA">
        <w:rPr>
          <w:rFonts w:cstheme="minorHAnsi"/>
        </w:rPr>
        <w:t xml:space="preserve">to </w:t>
      </w:r>
      <w:r w:rsidR="00EA429A" w:rsidRPr="00CD4CEA">
        <w:rPr>
          <w:rFonts w:cstheme="minorHAnsi"/>
        </w:rPr>
        <w:t xml:space="preserve">become part of our historical records in some form. </w:t>
      </w:r>
      <w:r w:rsidR="000B2304" w:rsidRPr="00CD4CEA">
        <w:rPr>
          <w:rFonts w:cstheme="minorHAnsi"/>
        </w:rPr>
        <w:t xml:space="preserve">In short, it helps break down the question: How do we generate knowledge about human rights violations? </w:t>
      </w:r>
      <w:r w:rsidR="004978A7" w:rsidRPr="00CD4CEA">
        <w:rPr>
          <w:rFonts w:cstheme="minorHAnsi"/>
        </w:rPr>
        <w:t xml:space="preserve"> </w:t>
      </w:r>
    </w:p>
    <w:p w14:paraId="723AF329" w14:textId="77777777" w:rsidR="00A601EE" w:rsidRPr="00CD4CEA" w:rsidRDefault="00A601EE">
      <w:pPr>
        <w:rPr>
          <w:rFonts w:cstheme="minorHAnsi"/>
        </w:rPr>
      </w:pPr>
    </w:p>
    <w:p w14:paraId="5A8F5937" w14:textId="7D95B7D0" w:rsidR="00B81C29" w:rsidRPr="00CD4CEA" w:rsidRDefault="00F60446">
      <w:pPr>
        <w:rPr>
          <w:rFonts w:cstheme="minorHAnsi"/>
        </w:rPr>
      </w:pPr>
      <w:r w:rsidRPr="00CD4CEA">
        <w:rPr>
          <w:rFonts w:cstheme="minorHAnsi"/>
        </w:rPr>
        <w:t>For the purposes of th</w:t>
      </w:r>
      <w:r w:rsidR="00EA429A" w:rsidRPr="00CD4CEA">
        <w:rPr>
          <w:rFonts w:cstheme="minorHAnsi"/>
        </w:rPr>
        <w:t xml:space="preserve">is discussion, we will use the modified version of </w:t>
      </w:r>
      <w:proofErr w:type="spellStart"/>
      <w:r w:rsidR="00EA429A" w:rsidRPr="00CD4CEA">
        <w:rPr>
          <w:rFonts w:cstheme="minorHAnsi"/>
        </w:rPr>
        <w:t>Ackoff’s</w:t>
      </w:r>
      <w:proofErr w:type="spellEnd"/>
      <w:r w:rsidR="00EA429A" w:rsidRPr="00CD4CEA">
        <w:rPr>
          <w:rFonts w:cstheme="minorHAnsi"/>
        </w:rPr>
        <w:t xml:space="preserve"> hierarchy proposed by Professor Olaf </w:t>
      </w:r>
      <w:proofErr w:type="spellStart"/>
      <w:r w:rsidR="00EA429A" w:rsidRPr="00CD4CEA">
        <w:rPr>
          <w:rFonts w:cstheme="minorHAnsi"/>
        </w:rPr>
        <w:t>Dammann</w:t>
      </w:r>
      <w:proofErr w:type="spellEnd"/>
      <w:r w:rsidR="00EA429A" w:rsidRPr="00CD4CEA">
        <w:rPr>
          <w:rFonts w:cstheme="minorHAnsi"/>
        </w:rPr>
        <w:t>, Vice Chair of Public Health and Community Medicine at Tufts University School of Medicine,</w:t>
      </w:r>
      <w:r w:rsidR="00A849AA" w:rsidRPr="00CD4CEA">
        <w:rPr>
          <w:rFonts w:cstheme="minorHAnsi"/>
        </w:rPr>
        <w:t xml:space="preserve"> which includes the development of evidence as part of this paradigm.</w:t>
      </w:r>
      <w:r w:rsidR="00EA429A" w:rsidRPr="00CD4CEA">
        <w:rPr>
          <w:rStyle w:val="FootnoteReference"/>
          <w:rFonts w:cstheme="minorHAnsi"/>
        </w:rPr>
        <w:footnoteReference w:id="4"/>
      </w:r>
      <w:r w:rsidR="00EA429A" w:rsidRPr="00CD4CEA">
        <w:rPr>
          <w:rFonts w:cstheme="minorHAnsi"/>
        </w:rPr>
        <w:t xml:space="preserve"> </w:t>
      </w:r>
    </w:p>
    <w:p w14:paraId="485E6D6B" w14:textId="77777777" w:rsidR="00BE46CC" w:rsidRPr="00CD4CEA" w:rsidRDefault="00BE46CC">
      <w:pPr>
        <w:rPr>
          <w:rFonts w:cstheme="minorHAnsi"/>
        </w:rPr>
      </w:pPr>
    </w:p>
    <w:p w14:paraId="699884ED" w14:textId="73B9B526" w:rsidR="00BE46CC" w:rsidRPr="00CD4CEA" w:rsidRDefault="00BE46CC" w:rsidP="00EF2509">
      <w:pPr>
        <w:ind w:left="720"/>
        <w:rPr>
          <w:rFonts w:cstheme="minorHAnsi"/>
        </w:rPr>
      </w:pPr>
      <w:r w:rsidRPr="00CD4CEA">
        <w:rPr>
          <w:rFonts w:cstheme="minorHAnsi"/>
          <w:b/>
        </w:rPr>
        <w:t>Data</w:t>
      </w:r>
      <w:r w:rsidRPr="00CD4CEA">
        <w:rPr>
          <w:rFonts w:cstheme="minorHAnsi"/>
        </w:rPr>
        <w:t xml:space="preserve"> are raw facts collected and gathered. They are the building blocks, the individual elements that you collect. They can be documents, sound or video recordings, </w:t>
      </w:r>
      <w:r w:rsidR="009463D0" w:rsidRPr="00CD4CEA">
        <w:rPr>
          <w:rFonts w:cstheme="minorHAnsi"/>
        </w:rPr>
        <w:t xml:space="preserve">images, or transcripts. </w:t>
      </w:r>
    </w:p>
    <w:p w14:paraId="1B3056E2" w14:textId="77777777" w:rsidR="009463D0" w:rsidRPr="00CD4CEA" w:rsidRDefault="009463D0" w:rsidP="00EF2509">
      <w:pPr>
        <w:ind w:left="720"/>
        <w:rPr>
          <w:rFonts w:cstheme="minorHAnsi"/>
        </w:rPr>
      </w:pPr>
    </w:p>
    <w:p w14:paraId="2881ED53" w14:textId="474E88EF" w:rsidR="009463D0" w:rsidRPr="00CD4CEA" w:rsidRDefault="009463D0" w:rsidP="00EF2509">
      <w:pPr>
        <w:ind w:left="720"/>
        <w:rPr>
          <w:rFonts w:cstheme="minorHAnsi"/>
        </w:rPr>
      </w:pPr>
      <w:r w:rsidRPr="00CD4CEA">
        <w:rPr>
          <w:rFonts w:cstheme="minorHAnsi"/>
          <w:b/>
        </w:rPr>
        <w:t>Information</w:t>
      </w:r>
      <w:r w:rsidRPr="00CD4CEA">
        <w:rPr>
          <w:rFonts w:cstheme="minorHAnsi"/>
        </w:rPr>
        <w:t xml:space="preserve"> is data in context. We gain information by collecting, aggregating, </w:t>
      </w:r>
      <w:proofErr w:type="spellStart"/>
      <w:r w:rsidRPr="00CD4CEA">
        <w:rPr>
          <w:rFonts w:cstheme="minorHAnsi"/>
        </w:rPr>
        <w:t>analy</w:t>
      </w:r>
      <w:r w:rsidR="00B33E38">
        <w:rPr>
          <w:rFonts w:cstheme="minorHAnsi"/>
        </w:rPr>
        <w:t>z</w:t>
      </w:r>
      <w:r w:rsidRPr="00CD4CEA">
        <w:rPr>
          <w:rFonts w:cstheme="minorHAnsi"/>
        </w:rPr>
        <w:t>ing</w:t>
      </w:r>
      <w:proofErr w:type="spellEnd"/>
      <w:r w:rsidRPr="00CD4CEA">
        <w:rPr>
          <w:rFonts w:cstheme="minorHAnsi"/>
        </w:rPr>
        <w:t>, and presenting data in a way that increases our understanding and organizes our thinking. “Information is data that have been processed so it is clear what they are about.”</w:t>
      </w:r>
    </w:p>
    <w:p w14:paraId="1B7A5F19" w14:textId="77777777" w:rsidR="009463D0" w:rsidRPr="00CD4CEA" w:rsidRDefault="009463D0" w:rsidP="00EF2509">
      <w:pPr>
        <w:ind w:left="720"/>
        <w:rPr>
          <w:rFonts w:cstheme="minorHAnsi"/>
        </w:rPr>
      </w:pPr>
    </w:p>
    <w:p w14:paraId="409F02AC" w14:textId="5B956208" w:rsidR="009463D0" w:rsidRPr="00CD4CEA" w:rsidRDefault="009463D0" w:rsidP="00EF2509">
      <w:pPr>
        <w:ind w:left="720"/>
        <w:rPr>
          <w:rFonts w:cstheme="minorHAnsi"/>
        </w:rPr>
      </w:pPr>
      <w:r w:rsidRPr="00CD4CEA">
        <w:rPr>
          <w:rFonts w:cstheme="minorHAnsi"/>
          <w:b/>
        </w:rPr>
        <w:lastRenderedPageBreak/>
        <w:t xml:space="preserve">Evidence </w:t>
      </w:r>
      <w:r w:rsidRPr="00CD4CEA">
        <w:rPr>
          <w:rFonts w:cstheme="minorHAnsi"/>
        </w:rPr>
        <w:t xml:space="preserve">is “information </w:t>
      </w:r>
      <w:r w:rsidR="00800A97" w:rsidRPr="00CD4CEA">
        <w:rPr>
          <w:rFonts w:cstheme="minorHAnsi"/>
        </w:rPr>
        <w:t xml:space="preserve">that bears on the truth of a proposition compared to a standard.” </w:t>
      </w:r>
    </w:p>
    <w:p w14:paraId="2F3649FE" w14:textId="77777777" w:rsidR="00800A97" w:rsidRPr="00CD4CEA" w:rsidRDefault="00800A97" w:rsidP="00EF2509">
      <w:pPr>
        <w:ind w:left="720"/>
        <w:rPr>
          <w:rFonts w:cstheme="minorHAnsi"/>
        </w:rPr>
      </w:pPr>
    </w:p>
    <w:p w14:paraId="50C15004" w14:textId="197ADA1F" w:rsidR="00800A97" w:rsidRPr="00CD4CEA" w:rsidRDefault="00800A97" w:rsidP="00EF2509">
      <w:pPr>
        <w:ind w:left="720"/>
        <w:rPr>
          <w:rFonts w:cstheme="minorHAnsi"/>
        </w:rPr>
      </w:pPr>
      <w:r w:rsidRPr="00CD4CEA">
        <w:rPr>
          <w:rFonts w:cstheme="minorHAnsi"/>
        </w:rPr>
        <w:t xml:space="preserve">“Actionable </w:t>
      </w:r>
      <w:r w:rsidRPr="00CD4CEA">
        <w:rPr>
          <w:rFonts w:cstheme="minorHAnsi"/>
          <w:b/>
        </w:rPr>
        <w:t>knowledge</w:t>
      </w:r>
      <w:r w:rsidRPr="00CD4CEA">
        <w:rPr>
          <w:rFonts w:cstheme="minorHAnsi"/>
        </w:rPr>
        <w:t xml:space="preserve"> is usually generated from coherent evidence from multiple independent sources of information.”</w:t>
      </w:r>
      <w:r w:rsidR="003E7948">
        <w:rPr>
          <w:rStyle w:val="FootnoteReference"/>
          <w:rFonts w:cstheme="minorHAnsi"/>
        </w:rPr>
        <w:footnoteReference w:id="5"/>
      </w:r>
    </w:p>
    <w:p w14:paraId="232792E1" w14:textId="77777777" w:rsidR="000F3CA9" w:rsidRPr="00CD4CEA" w:rsidRDefault="000F3CA9">
      <w:pPr>
        <w:rPr>
          <w:rFonts w:cstheme="minorHAnsi"/>
        </w:rPr>
      </w:pPr>
    </w:p>
    <w:p w14:paraId="403A8B05" w14:textId="35F8BCEA" w:rsidR="003C2803" w:rsidRPr="00CD4CEA" w:rsidRDefault="00965439">
      <w:pPr>
        <w:rPr>
          <w:rFonts w:cstheme="minorHAnsi"/>
        </w:rPr>
      </w:pPr>
      <w:r w:rsidRPr="00CD4CEA">
        <w:rPr>
          <w:rFonts w:cstheme="minorHAnsi"/>
          <w:i/>
        </w:rPr>
        <w:t xml:space="preserve">Moving from Data to Information. </w:t>
      </w:r>
      <w:r w:rsidR="002F42D4" w:rsidRPr="00CD4CEA">
        <w:rPr>
          <w:rFonts w:cstheme="minorHAnsi"/>
        </w:rPr>
        <w:t>C</w:t>
      </w:r>
      <w:r w:rsidR="001C73B2" w:rsidRPr="00CD4CEA">
        <w:rPr>
          <w:rFonts w:cstheme="minorHAnsi"/>
        </w:rPr>
        <w:t xml:space="preserve">ollecting </w:t>
      </w:r>
      <w:r w:rsidR="00CD1167" w:rsidRPr="00CD4CEA">
        <w:rPr>
          <w:rFonts w:cstheme="minorHAnsi"/>
        </w:rPr>
        <w:t xml:space="preserve">individual pieces of </w:t>
      </w:r>
      <w:r w:rsidR="001C73B2" w:rsidRPr="00CD4CEA">
        <w:rPr>
          <w:rFonts w:cstheme="minorHAnsi"/>
        </w:rPr>
        <w:t xml:space="preserve">data </w:t>
      </w:r>
      <w:r w:rsidR="001C73B2" w:rsidRPr="001804CA">
        <w:rPr>
          <w:rFonts w:cstheme="minorHAnsi"/>
        </w:rPr>
        <w:t>–</w:t>
      </w:r>
      <w:r w:rsidR="001C73B2" w:rsidRPr="00CD4CEA">
        <w:rPr>
          <w:rFonts w:cstheme="minorHAnsi"/>
        </w:rPr>
        <w:t xml:space="preserve"> documents, photos, videos</w:t>
      </w:r>
      <w:r w:rsidR="00CD1167" w:rsidRPr="00CD4CEA">
        <w:rPr>
          <w:rFonts w:cstheme="minorHAnsi"/>
        </w:rPr>
        <w:t>, testimonies</w:t>
      </w:r>
      <w:r w:rsidR="001C73B2" w:rsidRPr="00CD4CEA">
        <w:rPr>
          <w:rFonts w:cstheme="minorHAnsi"/>
        </w:rPr>
        <w:t xml:space="preserve"> </w:t>
      </w:r>
      <w:r w:rsidR="001C73B2" w:rsidRPr="001804CA">
        <w:rPr>
          <w:rFonts w:cstheme="minorHAnsi"/>
        </w:rPr>
        <w:t>–</w:t>
      </w:r>
      <w:r w:rsidR="001C73B2" w:rsidRPr="00CD4CEA">
        <w:rPr>
          <w:rFonts w:cstheme="minorHAnsi"/>
        </w:rPr>
        <w:t xml:space="preserve"> provides </w:t>
      </w:r>
      <w:r w:rsidR="00CD1167" w:rsidRPr="00CD4CEA">
        <w:rPr>
          <w:rFonts w:cstheme="minorHAnsi"/>
        </w:rPr>
        <w:t>you with scattered pieces of the puzzle. Comparing the individual pieces of data and putting the data points into the context allows the larger picture to become</w:t>
      </w:r>
      <w:r w:rsidRPr="00CD4CEA">
        <w:rPr>
          <w:rFonts w:cstheme="minorHAnsi"/>
        </w:rPr>
        <w:t xml:space="preserve"> clearer. This is a process akin to layering </w:t>
      </w:r>
      <w:r w:rsidR="0093672D" w:rsidRPr="00CD4CEA">
        <w:rPr>
          <w:rFonts w:cstheme="minorHAnsi"/>
        </w:rPr>
        <w:t xml:space="preserve">in which </w:t>
      </w:r>
      <w:r w:rsidRPr="00CD4CEA">
        <w:rPr>
          <w:rFonts w:cstheme="minorHAnsi"/>
        </w:rPr>
        <w:t xml:space="preserve">different types of data, different types of analysis, </w:t>
      </w:r>
      <w:r w:rsidR="0093672D" w:rsidRPr="00CD4CEA">
        <w:rPr>
          <w:rFonts w:cstheme="minorHAnsi"/>
        </w:rPr>
        <w:t xml:space="preserve">and </w:t>
      </w:r>
      <w:r w:rsidRPr="00CD4CEA">
        <w:rPr>
          <w:rFonts w:cstheme="minorHAnsi"/>
        </w:rPr>
        <w:t xml:space="preserve">different sources of data </w:t>
      </w:r>
      <w:r w:rsidR="00C14DCF" w:rsidRPr="00CD4CEA">
        <w:rPr>
          <w:rFonts w:cstheme="minorHAnsi"/>
        </w:rPr>
        <w:t>come</w:t>
      </w:r>
      <w:r w:rsidRPr="00CD4CEA">
        <w:rPr>
          <w:rFonts w:cstheme="minorHAnsi"/>
        </w:rPr>
        <w:t xml:space="preserve"> together to build up context and clarity. </w:t>
      </w:r>
    </w:p>
    <w:p w14:paraId="20F40B05" w14:textId="77777777" w:rsidR="00965439" w:rsidRPr="00CD4CEA" w:rsidRDefault="00965439">
      <w:pPr>
        <w:rPr>
          <w:rFonts w:cstheme="minorHAnsi"/>
        </w:rPr>
      </w:pPr>
    </w:p>
    <w:p w14:paraId="4D578E3D" w14:textId="4315C43E" w:rsidR="00965439" w:rsidRPr="00CD4CEA" w:rsidRDefault="00965439">
      <w:pPr>
        <w:rPr>
          <w:rFonts w:cstheme="minorHAnsi"/>
        </w:rPr>
      </w:pPr>
      <w:r w:rsidRPr="00CD4CEA">
        <w:rPr>
          <w:rFonts w:cstheme="minorHAnsi"/>
          <w:i/>
        </w:rPr>
        <w:t>Moving from Information to Evidence.</w:t>
      </w:r>
      <w:r w:rsidR="006C57EF" w:rsidRPr="00CD4CEA">
        <w:rPr>
          <w:rFonts w:cstheme="minorHAnsi"/>
        </w:rPr>
        <w:t xml:space="preserve"> As context is added and clarity gained, two things happen according to </w:t>
      </w:r>
      <w:proofErr w:type="spellStart"/>
      <w:r w:rsidR="006C57EF" w:rsidRPr="00CD4CEA">
        <w:rPr>
          <w:rFonts w:cstheme="minorHAnsi"/>
        </w:rPr>
        <w:t>Dammann’s</w:t>
      </w:r>
      <w:proofErr w:type="spellEnd"/>
      <w:r w:rsidR="006C57EF" w:rsidRPr="00CD4CEA">
        <w:rPr>
          <w:rFonts w:cstheme="minorHAnsi"/>
        </w:rPr>
        <w:t xml:space="preserve"> paradigm. First, a hypothesis or proposition is formed. At the most basic level</w:t>
      </w:r>
      <w:r w:rsidR="00E97232">
        <w:rPr>
          <w:rFonts w:cstheme="minorHAnsi"/>
        </w:rPr>
        <w:t>,</w:t>
      </w:r>
      <w:r w:rsidR="006C57EF" w:rsidRPr="00CD4CEA">
        <w:rPr>
          <w:rFonts w:cstheme="minorHAnsi"/>
        </w:rPr>
        <w:t xml:space="preserve"> this hypothesis should ask: does the information collected about the situation or events show that human rights violations are taking place? Second, that hypothesis is compared to a standard. For determining human rights violations, those standards are </w:t>
      </w:r>
      <w:r w:rsidR="00CF1738" w:rsidRPr="00CD4CEA">
        <w:rPr>
          <w:rFonts w:cstheme="minorHAnsi"/>
        </w:rPr>
        <w:t>found in international and national legal frameworks</w:t>
      </w:r>
      <w:r w:rsidR="006C57EF" w:rsidRPr="00CD4CEA">
        <w:rPr>
          <w:rFonts w:cstheme="minorHAnsi"/>
        </w:rPr>
        <w:t xml:space="preserve">. The complexities of the standards mean that specialized assistance is necessary and should involve experts in </w:t>
      </w:r>
      <w:r w:rsidR="0093672D" w:rsidRPr="00CD4CEA">
        <w:rPr>
          <w:rFonts w:cstheme="minorHAnsi"/>
        </w:rPr>
        <w:t>the appropriate legal field (e.g.</w:t>
      </w:r>
      <w:r w:rsidR="00B33E38">
        <w:rPr>
          <w:rFonts w:cstheme="minorHAnsi"/>
        </w:rPr>
        <w:t>,</w:t>
      </w:r>
      <w:r w:rsidR="0093672D" w:rsidRPr="00CD4CEA">
        <w:rPr>
          <w:rFonts w:cstheme="minorHAnsi"/>
        </w:rPr>
        <w:t xml:space="preserve"> international human rights law, international humanitarian law, international criminal law)</w:t>
      </w:r>
      <w:r w:rsidR="006C57EF" w:rsidRPr="00CD4CEA">
        <w:rPr>
          <w:rFonts w:cstheme="minorHAnsi"/>
        </w:rPr>
        <w:t>.</w:t>
      </w:r>
      <w:r w:rsidR="006562C8" w:rsidRPr="00CD4CEA">
        <w:rPr>
          <w:rFonts w:cstheme="minorHAnsi"/>
        </w:rPr>
        <w:t xml:space="preserve"> Depending on the purpose of your documentation effort, this step may or may not be necessary. </w:t>
      </w:r>
    </w:p>
    <w:p w14:paraId="32F8A8AE" w14:textId="77777777" w:rsidR="00965439" w:rsidRPr="00CD4CEA" w:rsidRDefault="00965439">
      <w:pPr>
        <w:rPr>
          <w:rFonts w:cstheme="minorHAnsi"/>
        </w:rPr>
      </w:pPr>
    </w:p>
    <w:p w14:paraId="086BF1FB" w14:textId="520EC5F7" w:rsidR="00965439" w:rsidRPr="00CD4CEA" w:rsidRDefault="00965439">
      <w:pPr>
        <w:rPr>
          <w:rFonts w:cstheme="minorHAnsi"/>
        </w:rPr>
      </w:pPr>
      <w:r w:rsidRPr="00CD4CEA">
        <w:rPr>
          <w:rFonts w:cstheme="minorHAnsi"/>
          <w:i/>
        </w:rPr>
        <w:t>Mov</w:t>
      </w:r>
      <w:r w:rsidR="0026432D" w:rsidRPr="00CD4CEA">
        <w:rPr>
          <w:rFonts w:cstheme="minorHAnsi"/>
          <w:i/>
        </w:rPr>
        <w:t xml:space="preserve">ing from </w:t>
      </w:r>
      <w:r w:rsidR="006562C8" w:rsidRPr="00CD4CEA">
        <w:rPr>
          <w:rFonts w:cstheme="minorHAnsi"/>
          <w:i/>
        </w:rPr>
        <w:t>Information/</w:t>
      </w:r>
      <w:r w:rsidR="0026432D" w:rsidRPr="00CD4CEA">
        <w:rPr>
          <w:rFonts w:cstheme="minorHAnsi"/>
          <w:i/>
        </w:rPr>
        <w:t xml:space="preserve">Evidence to Knowledge. </w:t>
      </w:r>
      <w:r w:rsidR="0026432D" w:rsidRPr="00CD4CEA">
        <w:rPr>
          <w:rFonts w:cstheme="minorHAnsi"/>
        </w:rPr>
        <w:t xml:space="preserve">As we test our information against the human rights standards, knowledge is created. We compile information and evidence from a variety of sources and create accurate knowledge as to what happened in the particular situation. </w:t>
      </w:r>
    </w:p>
    <w:p w14:paraId="302EEAB3" w14:textId="77777777" w:rsidR="00837ABA" w:rsidRPr="00CD4CEA" w:rsidRDefault="00837ABA">
      <w:pPr>
        <w:rPr>
          <w:rFonts w:cstheme="minorHAnsi"/>
        </w:rPr>
      </w:pPr>
    </w:p>
    <w:tbl>
      <w:tblPr>
        <w:tblStyle w:val="TableGrid"/>
        <w:tblW w:w="0" w:type="auto"/>
        <w:tblLook w:val="04A0" w:firstRow="1" w:lastRow="0" w:firstColumn="1" w:lastColumn="0" w:noHBand="0" w:noVBand="1"/>
      </w:tblPr>
      <w:tblGrid>
        <w:gridCol w:w="2310"/>
        <w:gridCol w:w="2310"/>
        <w:gridCol w:w="2311"/>
        <w:gridCol w:w="2311"/>
      </w:tblGrid>
      <w:tr w:rsidR="00837ABA" w:rsidRPr="00CD4CEA" w14:paraId="6639548A" w14:textId="77777777" w:rsidTr="00DD2D18">
        <w:tc>
          <w:tcPr>
            <w:tcW w:w="9242" w:type="dxa"/>
            <w:gridSpan w:val="4"/>
          </w:tcPr>
          <w:p w14:paraId="12EE9791" w14:textId="77777777" w:rsidR="00837ABA" w:rsidRPr="00CD4CEA" w:rsidRDefault="00837ABA" w:rsidP="00DD2D18">
            <w:pPr>
              <w:jc w:val="center"/>
              <w:rPr>
                <w:rFonts w:cstheme="minorHAnsi"/>
              </w:rPr>
            </w:pPr>
            <w:r w:rsidRPr="00CD4CEA">
              <w:rPr>
                <w:rFonts w:cstheme="minorHAnsi"/>
                <w:b/>
              </w:rPr>
              <w:t xml:space="preserve">Explanations of Data, Information, Evidence, and Knowledge (Adapted from </w:t>
            </w:r>
            <w:proofErr w:type="spellStart"/>
            <w:r w:rsidRPr="00CD4CEA">
              <w:rPr>
                <w:rFonts w:cstheme="minorHAnsi"/>
                <w:b/>
              </w:rPr>
              <w:t>Dammann</w:t>
            </w:r>
            <w:proofErr w:type="spellEnd"/>
            <w:r w:rsidRPr="00CD4CEA">
              <w:rPr>
                <w:rFonts w:cstheme="minorHAnsi"/>
                <w:b/>
              </w:rPr>
              <w:t>)</w:t>
            </w:r>
            <w:r w:rsidRPr="00CD4CEA">
              <w:rPr>
                <w:rStyle w:val="FootnoteReference"/>
                <w:rFonts w:cstheme="minorHAnsi"/>
                <w:b/>
              </w:rPr>
              <w:footnoteReference w:id="6"/>
            </w:r>
          </w:p>
        </w:tc>
      </w:tr>
      <w:tr w:rsidR="00837ABA" w:rsidRPr="00CD4CEA" w14:paraId="2E570BE4" w14:textId="77777777" w:rsidTr="00DD2D18">
        <w:tc>
          <w:tcPr>
            <w:tcW w:w="2310" w:type="dxa"/>
          </w:tcPr>
          <w:p w14:paraId="406D1B2F" w14:textId="77777777" w:rsidR="00837ABA" w:rsidRPr="00CD4CEA" w:rsidRDefault="00837ABA" w:rsidP="00DD2D18">
            <w:pPr>
              <w:rPr>
                <w:rFonts w:cstheme="minorHAnsi"/>
                <w:b/>
              </w:rPr>
            </w:pPr>
            <w:r w:rsidRPr="00CD4CEA">
              <w:rPr>
                <w:rFonts w:cstheme="minorHAnsi"/>
                <w:b/>
              </w:rPr>
              <w:t>Concept</w:t>
            </w:r>
          </w:p>
        </w:tc>
        <w:tc>
          <w:tcPr>
            <w:tcW w:w="2310" w:type="dxa"/>
          </w:tcPr>
          <w:p w14:paraId="34B8A6E0" w14:textId="77777777" w:rsidR="00837ABA" w:rsidRPr="00CD4CEA" w:rsidRDefault="00837ABA" w:rsidP="00DD2D18">
            <w:pPr>
              <w:rPr>
                <w:rFonts w:cstheme="minorHAnsi"/>
                <w:b/>
              </w:rPr>
            </w:pPr>
            <w:r w:rsidRPr="00CD4CEA">
              <w:rPr>
                <w:rFonts w:cstheme="minorHAnsi"/>
                <w:b/>
              </w:rPr>
              <w:t>What is it?</w:t>
            </w:r>
          </w:p>
        </w:tc>
        <w:tc>
          <w:tcPr>
            <w:tcW w:w="2311" w:type="dxa"/>
          </w:tcPr>
          <w:p w14:paraId="2AE6C02F" w14:textId="77777777" w:rsidR="00837ABA" w:rsidRPr="00CD4CEA" w:rsidRDefault="00837ABA" w:rsidP="00DD2D18">
            <w:pPr>
              <w:rPr>
                <w:rFonts w:cstheme="minorHAnsi"/>
                <w:b/>
              </w:rPr>
            </w:pPr>
            <w:r w:rsidRPr="00CD4CEA">
              <w:rPr>
                <w:rFonts w:cstheme="minorHAnsi"/>
                <w:b/>
              </w:rPr>
              <w:t>How is it Produced?</w:t>
            </w:r>
          </w:p>
        </w:tc>
        <w:tc>
          <w:tcPr>
            <w:tcW w:w="2311" w:type="dxa"/>
          </w:tcPr>
          <w:p w14:paraId="7167989F" w14:textId="77777777" w:rsidR="00837ABA" w:rsidRPr="00CD4CEA" w:rsidRDefault="00837ABA" w:rsidP="00DD2D18">
            <w:pPr>
              <w:rPr>
                <w:rFonts w:cstheme="minorHAnsi"/>
                <w:b/>
              </w:rPr>
            </w:pPr>
            <w:r w:rsidRPr="00CD4CEA">
              <w:rPr>
                <w:rFonts w:cstheme="minorHAnsi"/>
                <w:b/>
              </w:rPr>
              <w:t xml:space="preserve">Goal? </w:t>
            </w:r>
          </w:p>
        </w:tc>
      </w:tr>
      <w:tr w:rsidR="00837ABA" w:rsidRPr="00CD4CEA" w14:paraId="395F350E" w14:textId="77777777" w:rsidTr="00DD2D18">
        <w:tc>
          <w:tcPr>
            <w:tcW w:w="2310" w:type="dxa"/>
          </w:tcPr>
          <w:p w14:paraId="5C6FF4AE" w14:textId="77777777" w:rsidR="00837ABA" w:rsidRPr="00CD4CEA" w:rsidRDefault="00837ABA" w:rsidP="00DD2D18">
            <w:pPr>
              <w:rPr>
                <w:rFonts w:cstheme="minorHAnsi"/>
                <w:b/>
              </w:rPr>
            </w:pPr>
            <w:r w:rsidRPr="00CD4CEA">
              <w:rPr>
                <w:rFonts w:cstheme="minorHAnsi"/>
                <w:b/>
              </w:rPr>
              <w:t>Data</w:t>
            </w:r>
          </w:p>
        </w:tc>
        <w:tc>
          <w:tcPr>
            <w:tcW w:w="2310" w:type="dxa"/>
          </w:tcPr>
          <w:p w14:paraId="4E0AA2A8" w14:textId="06EA3EE8" w:rsidR="00837ABA" w:rsidRPr="00CD4CEA" w:rsidRDefault="00837ABA" w:rsidP="00DD2D18">
            <w:pPr>
              <w:rPr>
                <w:rFonts w:cstheme="minorHAnsi"/>
              </w:rPr>
            </w:pPr>
            <w:r w:rsidRPr="00CD4CEA">
              <w:rPr>
                <w:rFonts w:cstheme="minorHAnsi"/>
              </w:rPr>
              <w:t xml:space="preserve">Numbers, </w:t>
            </w:r>
            <w:r w:rsidR="00C14DCF" w:rsidRPr="00CD4CEA">
              <w:rPr>
                <w:rFonts w:cstheme="minorHAnsi"/>
              </w:rPr>
              <w:t>s</w:t>
            </w:r>
            <w:r w:rsidRPr="00CD4CEA">
              <w:rPr>
                <w:rFonts w:cstheme="minorHAnsi"/>
              </w:rPr>
              <w:t xml:space="preserve">ymbols, </w:t>
            </w:r>
            <w:r w:rsidR="00C14DCF" w:rsidRPr="00CD4CEA">
              <w:rPr>
                <w:rFonts w:cstheme="minorHAnsi"/>
              </w:rPr>
              <w:t>t</w:t>
            </w:r>
            <w:r w:rsidRPr="00CD4CEA">
              <w:rPr>
                <w:rFonts w:cstheme="minorHAnsi"/>
              </w:rPr>
              <w:t xml:space="preserve">ext, </w:t>
            </w:r>
            <w:r w:rsidR="00C14DCF" w:rsidRPr="00CD4CEA">
              <w:rPr>
                <w:rFonts w:cstheme="minorHAnsi"/>
              </w:rPr>
              <w:t>i</w:t>
            </w:r>
            <w:r w:rsidRPr="00CD4CEA">
              <w:rPr>
                <w:rFonts w:cstheme="minorHAnsi"/>
              </w:rPr>
              <w:t xml:space="preserve">mages, </w:t>
            </w:r>
            <w:r w:rsidR="00C14DCF" w:rsidRPr="00CD4CEA">
              <w:rPr>
                <w:rFonts w:cstheme="minorHAnsi"/>
              </w:rPr>
              <w:t>s</w:t>
            </w:r>
            <w:r w:rsidRPr="00CD4CEA">
              <w:rPr>
                <w:rFonts w:cstheme="minorHAnsi"/>
              </w:rPr>
              <w:t>ound/video recordings, unit values</w:t>
            </w:r>
          </w:p>
        </w:tc>
        <w:tc>
          <w:tcPr>
            <w:tcW w:w="2311" w:type="dxa"/>
          </w:tcPr>
          <w:p w14:paraId="090EF302" w14:textId="41D732D3" w:rsidR="00837ABA" w:rsidRPr="00CD4CEA" w:rsidRDefault="00837ABA" w:rsidP="00DD2D18">
            <w:pPr>
              <w:rPr>
                <w:rFonts w:cstheme="minorHAnsi"/>
              </w:rPr>
            </w:pPr>
            <w:r w:rsidRPr="00CD4CEA">
              <w:rPr>
                <w:rFonts w:cstheme="minorHAnsi"/>
                <w:b/>
              </w:rPr>
              <w:t xml:space="preserve">Collected </w:t>
            </w:r>
            <w:r w:rsidRPr="00CD4CEA">
              <w:rPr>
                <w:rFonts w:cstheme="minorHAnsi"/>
              </w:rPr>
              <w:t>from field research, database</w:t>
            </w:r>
            <w:r w:rsidR="00EF2509" w:rsidRPr="00CD4CEA">
              <w:rPr>
                <w:rFonts w:cstheme="minorHAnsi"/>
              </w:rPr>
              <w:t>s</w:t>
            </w:r>
            <w:r w:rsidRPr="00CD4CEA">
              <w:rPr>
                <w:rFonts w:cstheme="minorHAnsi"/>
              </w:rPr>
              <w:t>, measurements, observations</w:t>
            </w:r>
          </w:p>
        </w:tc>
        <w:tc>
          <w:tcPr>
            <w:tcW w:w="2311" w:type="dxa"/>
          </w:tcPr>
          <w:p w14:paraId="1D8D3D64" w14:textId="77777777" w:rsidR="00837ABA" w:rsidRPr="00CD4CEA" w:rsidRDefault="00837ABA" w:rsidP="00DD2D18">
            <w:pPr>
              <w:rPr>
                <w:rFonts w:cstheme="minorHAnsi"/>
              </w:rPr>
            </w:pPr>
            <w:r w:rsidRPr="00CD4CEA">
              <w:rPr>
                <w:rFonts w:cstheme="minorHAnsi"/>
              </w:rPr>
              <w:t>Use as raw data or for information generation</w:t>
            </w:r>
          </w:p>
          <w:p w14:paraId="4E78D881" w14:textId="77777777" w:rsidR="00837ABA" w:rsidRPr="00CD4CEA" w:rsidRDefault="00837ABA" w:rsidP="00DD2D18">
            <w:pPr>
              <w:rPr>
                <w:rFonts w:cstheme="minorHAnsi"/>
              </w:rPr>
            </w:pPr>
          </w:p>
          <w:p w14:paraId="0D16A907" w14:textId="77777777" w:rsidR="00837ABA" w:rsidRPr="00CD4CEA" w:rsidRDefault="00837ABA" w:rsidP="00DD2D18">
            <w:pPr>
              <w:rPr>
                <w:rFonts w:cstheme="minorHAnsi"/>
              </w:rPr>
            </w:pPr>
            <w:r w:rsidRPr="00CD4CEA">
              <w:rPr>
                <w:rFonts w:cstheme="minorHAnsi"/>
              </w:rPr>
              <w:t>Storage, curation, retrieval</w:t>
            </w:r>
          </w:p>
        </w:tc>
      </w:tr>
      <w:tr w:rsidR="00837ABA" w:rsidRPr="00CD4CEA" w14:paraId="79C54F5B" w14:textId="77777777" w:rsidTr="00DD2D18">
        <w:tc>
          <w:tcPr>
            <w:tcW w:w="2310" w:type="dxa"/>
          </w:tcPr>
          <w:p w14:paraId="148326D1" w14:textId="77777777" w:rsidR="00837ABA" w:rsidRPr="00CD4CEA" w:rsidRDefault="00837ABA" w:rsidP="00DD2D18">
            <w:pPr>
              <w:rPr>
                <w:rFonts w:cstheme="minorHAnsi"/>
                <w:b/>
              </w:rPr>
            </w:pPr>
            <w:r w:rsidRPr="00CD4CEA">
              <w:rPr>
                <w:rFonts w:cstheme="minorHAnsi"/>
                <w:b/>
              </w:rPr>
              <w:t>Information</w:t>
            </w:r>
          </w:p>
        </w:tc>
        <w:tc>
          <w:tcPr>
            <w:tcW w:w="2310" w:type="dxa"/>
          </w:tcPr>
          <w:p w14:paraId="0674D368" w14:textId="77777777" w:rsidR="00837ABA" w:rsidRPr="00CD4CEA" w:rsidRDefault="00837ABA" w:rsidP="00DD2D18">
            <w:pPr>
              <w:rPr>
                <w:rFonts w:cstheme="minorHAnsi"/>
              </w:rPr>
            </w:pPr>
            <w:r w:rsidRPr="00CD4CEA">
              <w:rPr>
                <w:rFonts w:cstheme="minorHAnsi"/>
              </w:rPr>
              <w:t>Data in context</w:t>
            </w:r>
          </w:p>
        </w:tc>
        <w:tc>
          <w:tcPr>
            <w:tcW w:w="2311" w:type="dxa"/>
          </w:tcPr>
          <w:p w14:paraId="4ADEE817" w14:textId="77777777" w:rsidR="00837ABA" w:rsidRPr="00CD4CEA" w:rsidRDefault="00837ABA" w:rsidP="00DD2D18">
            <w:pPr>
              <w:rPr>
                <w:rFonts w:cstheme="minorHAnsi"/>
              </w:rPr>
            </w:pPr>
            <w:r w:rsidRPr="00CD4CEA">
              <w:rPr>
                <w:rFonts w:cstheme="minorHAnsi"/>
                <w:b/>
              </w:rPr>
              <w:t xml:space="preserve">Contextualization </w:t>
            </w:r>
            <w:r w:rsidRPr="00CD4CEA">
              <w:rPr>
                <w:rFonts w:cstheme="minorHAnsi"/>
              </w:rPr>
              <w:t>by making data useful, and using them for specific tasks</w:t>
            </w:r>
          </w:p>
        </w:tc>
        <w:tc>
          <w:tcPr>
            <w:tcW w:w="2311" w:type="dxa"/>
          </w:tcPr>
          <w:p w14:paraId="647A93BE" w14:textId="77777777" w:rsidR="00837ABA" w:rsidRPr="00CD4CEA" w:rsidRDefault="00837ABA" w:rsidP="00DD2D18">
            <w:pPr>
              <w:rPr>
                <w:rFonts w:cstheme="minorHAnsi"/>
              </w:rPr>
            </w:pPr>
            <w:r w:rsidRPr="00CD4CEA">
              <w:rPr>
                <w:rFonts w:cstheme="minorHAnsi"/>
              </w:rPr>
              <w:t>Use as a source for answering questions</w:t>
            </w:r>
          </w:p>
          <w:p w14:paraId="4D82D49D" w14:textId="77777777" w:rsidR="00837ABA" w:rsidRPr="00CD4CEA" w:rsidRDefault="00837ABA" w:rsidP="00DD2D18">
            <w:pPr>
              <w:rPr>
                <w:rFonts w:cstheme="minorHAnsi"/>
              </w:rPr>
            </w:pPr>
          </w:p>
          <w:p w14:paraId="2F2356CA" w14:textId="77777777" w:rsidR="00837ABA" w:rsidRPr="00CD4CEA" w:rsidRDefault="00837ABA" w:rsidP="00DD2D18">
            <w:pPr>
              <w:rPr>
                <w:rFonts w:cstheme="minorHAnsi"/>
              </w:rPr>
            </w:pPr>
            <w:r w:rsidRPr="00CD4CEA">
              <w:rPr>
                <w:rFonts w:cstheme="minorHAnsi"/>
              </w:rPr>
              <w:t>Storage, curation, retrieval</w:t>
            </w:r>
          </w:p>
        </w:tc>
      </w:tr>
      <w:tr w:rsidR="00837ABA" w:rsidRPr="00CD4CEA" w14:paraId="10AD154A" w14:textId="77777777" w:rsidTr="00DD2D18">
        <w:tc>
          <w:tcPr>
            <w:tcW w:w="2310" w:type="dxa"/>
          </w:tcPr>
          <w:p w14:paraId="21825D4E" w14:textId="77777777" w:rsidR="00837ABA" w:rsidRPr="00CD4CEA" w:rsidRDefault="00837ABA" w:rsidP="00DD2D18">
            <w:pPr>
              <w:rPr>
                <w:rFonts w:cstheme="minorHAnsi"/>
                <w:b/>
              </w:rPr>
            </w:pPr>
            <w:r w:rsidRPr="00CD4CEA">
              <w:rPr>
                <w:rFonts w:cstheme="minorHAnsi"/>
                <w:b/>
              </w:rPr>
              <w:t xml:space="preserve">Evidence </w:t>
            </w:r>
          </w:p>
        </w:tc>
        <w:tc>
          <w:tcPr>
            <w:tcW w:w="2310" w:type="dxa"/>
          </w:tcPr>
          <w:p w14:paraId="21424DEF" w14:textId="77777777" w:rsidR="00837ABA" w:rsidRPr="00CD4CEA" w:rsidRDefault="00837ABA" w:rsidP="00DD2D18">
            <w:pPr>
              <w:rPr>
                <w:rFonts w:cstheme="minorHAnsi"/>
              </w:rPr>
            </w:pPr>
            <w:r w:rsidRPr="00CD4CEA">
              <w:rPr>
                <w:rFonts w:cstheme="minorHAnsi"/>
              </w:rPr>
              <w:t xml:space="preserve">Useful, contextualized information </w:t>
            </w:r>
          </w:p>
        </w:tc>
        <w:tc>
          <w:tcPr>
            <w:tcW w:w="2311" w:type="dxa"/>
          </w:tcPr>
          <w:p w14:paraId="07B48013" w14:textId="77777777" w:rsidR="00837ABA" w:rsidRPr="00CD4CEA" w:rsidRDefault="00837ABA" w:rsidP="00DD2D18">
            <w:pPr>
              <w:rPr>
                <w:rFonts w:cstheme="minorHAnsi"/>
              </w:rPr>
            </w:pPr>
            <w:r w:rsidRPr="00CD4CEA">
              <w:rPr>
                <w:rFonts w:cstheme="minorHAnsi"/>
                <w:b/>
              </w:rPr>
              <w:t>Comparison</w:t>
            </w:r>
            <w:r w:rsidRPr="00CD4CEA">
              <w:rPr>
                <w:rFonts w:cstheme="minorHAnsi"/>
              </w:rPr>
              <w:t xml:space="preserve"> with standards, reference values and information</w:t>
            </w:r>
          </w:p>
        </w:tc>
        <w:tc>
          <w:tcPr>
            <w:tcW w:w="2311" w:type="dxa"/>
          </w:tcPr>
          <w:p w14:paraId="32A21FDC" w14:textId="77777777" w:rsidR="00837ABA" w:rsidRPr="00CD4CEA" w:rsidRDefault="00837ABA" w:rsidP="00DD2D18">
            <w:pPr>
              <w:rPr>
                <w:rFonts w:cstheme="minorHAnsi"/>
              </w:rPr>
            </w:pPr>
            <w:r w:rsidRPr="00CD4CEA">
              <w:rPr>
                <w:rFonts w:cstheme="minorHAnsi"/>
              </w:rPr>
              <w:t>Use for analysis and testing to support claims and decision-making</w:t>
            </w:r>
          </w:p>
        </w:tc>
      </w:tr>
      <w:tr w:rsidR="00837ABA" w:rsidRPr="00CD4CEA" w14:paraId="032D35E2" w14:textId="77777777" w:rsidTr="00DD2D18">
        <w:tc>
          <w:tcPr>
            <w:tcW w:w="2310" w:type="dxa"/>
          </w:tcPr>
          <w:p w14:paraId="5B166D9B" w14:textId="77777777" w:rsidR="00837ABA" w:rsidRPr="00CD4CEA" w:rsidRDefault="00837ABA" w:rsidP="00DD2D18">
            <w:pPr>
              <w:rPr>
                <w:rFonts w:cstheme="minorHAnsi"/>
                <w:b/>
              </w:rPr>
            </w:pPr>
            <w:r w:rsidRPr="00CD4CEA">
              <w:rPr>
                <w:rFonts w:cstheme="minorHAnsi"/>
                <w:b/>
              </w:rPr>
              <w:t>Knowledge</w:t>
            </w:r>
          </w:p>
        </w:tc>
        <w:tc>
          <w:tcPr>
            <w:tcW w:w="2310" w:type="dxa"/>
          </w:tcPr>
          <w:p w14:paraId="0677B638" w14:textId="77777777" w:rsidR="00837ABA" w:rsidRPr="00CD4CEA" w:rsidRDefault="00837ABA" w:rsidP="00DD2D18">
            <w:pPr>
              <w:rPr>
                <w:rFonts w:cstheme="minorHAnsi"/>
              </w:rPr>
            </w:pPr>
            <w:r w:rsidRPr="00CD4CEA">
              <w:rPr>
                <w:rFonts w:cstheme="minorHAnsi"/>
              </w:rPr>
              <w:t>Evidence-based (predictive, testable, consistently successful) belief</w:t>
            </w:r>
          </w:p>
        </w:tc>
        <w:tc>
          <w:tcPr>
            <w:tcW w:w="2311" w:type="dxa"/>
          </w:tcPr>
          <w:p w14:paraId="39962CD4" w14:textId="77777777" w:rsidR="00837ABA" w:rsidRPr="00CD4CEA" w:rsidRDefault="00837ABA" w:rsidP="00DD2D18">
            <w:pPr>
              <w:rPr>
                <w:rFonts w:cstheme="minorHAnsi"/>
              </w:rPr>
            </w:pPr>
            <w:r w:rsidRPr="00CD4CEA">
              <w:rPr>
                <w:rFonts w:cstheme="minorHAnsi"/>
                <w:b/>
              </w:rPr>
              <w:t xml:space="preserve">Consensus </w:t>
            </w:r>
            <w:r w:rsidRPr="00CD4CEA">
              <w:rPr>
                <w:rFonts w:cstheme="minorHAnsi"/>
              </w:rPr>
              <w:t>based on reasoning and discussion</w:t>
            </w:r>
          </w:p>
        </w:tc>
        <w:tc>
          <w:tcPr>
            <w:tcW w:w="2311" w:type="dxa"/>
          </w:tcPr>
          <w:p w14:paraId="51429A7B" w14:textId="77777777" w:rsidR="00837ABA" w:rsidRPr="00CD4CEA" w:rsidRDefault="00837ABA" w:rsidP="00DD2D18">
            <w:pPr>
              <w:rPr>
                <w:rFonts w:cstheme="minorHAnsi"/>
              </w:rPr>
            </w:pPr>
            <w:r w:rsidRPr="00CD4CEA">
              <w:rPr>
                <w:rFonts w:cstheme="minorHAnsi"/>
              </w:rPr>
              <w:t>Justification</w:t>
            </w:r>
          </w:p>
        </w:tc>
      </w:tr>
    </w:tbl>
    <w:p w14:paraId="7878C05E" w14:textId="77777777" w:rsidR="00823E27" w:rsidRPr="00CD4CEA" w:rsidRDefault="00823E27">
      <w:pPr>
        <w:rPr>
          <w:rFonts w:cstheme="minorHAnsi"/>
        </w:rPr>
      </w:pPr>
    </w:p>
    <w:p w14:paraId="4B78C8DE" w14:textId="1A47F16C" w:rsidR="00292965" w:rsidRPr="00CD4CEA" w:rsidRDefault="00823E27">
      <w:pPr>
        <w:rPr>
          <w:rFonts w:cstheme="minorHAnsi"/>
        </w:rPr>
      </w:pPr>
      <w:r w:rsidRPr="00CD4CEA">
        <w:rPr>
          <w:rFonts w:cstheme="minorHAnsi"/>
        </w:rPr>
        <w:lastRenderedPageBreak/>
        <w:t xml:space="preserve">Moving through the stages of this paradigm can happen multiple times as new data is collected or as situations evolve. It is an ongoing, constant process that can deepen our understanding of the present, help to deal with the past, and frame the future. </w:t>
      </w:r>
      <w:r w:rsidR="00292965" w:rsidRPr="00CD4CEA">
        <w:rPr>
          <w:rFonts w:cstheme="minorHAnsi"/>
        </w:rPr>
        <w:t xml:space="preserve">It can also be the case that there is tension in knowledge creation, </w:t>
      </w:r>
      <w:r w:rsidR="00292965" w:rsidRPr="001804CA">
        <w:rPr>
          <w:rFonts w:cstheme="minorHAnsi"/>
        </w:rPr>
        <w:t>particularly</w:t>
      </w:r>
      <w:r w:rsidR="00292965" w:rsidRPr="00CD4CEA">
        <w:rPr>
          <w:rFonts w:cstheme="minorHAnsi"/>
        </w:rPr>
        <w:t xml:space="preserve"> when human rights documentation is used for multiple purposes over time </w:t>
      </w:r>
      <w:r w:rsidR="00216840" w:rsidRPr="00CD4CEA">
        <w:rPr>
          <w:rFonts w:cstheme="minorHAnsi"/>
        </w:rPr>
        <w:t>or</w:t>
      </w:r>
      <w:r w:rsidR="00292965" w:rsidRPr="00CD4CEA">
        <w:rPr>
          <w:rFonts w:cstheme="minorHAnsi"/>
        </w:rPr>
        <w:t xml:space="preserve"> when courts are involved. As </w:t>
      </w:r>
      <w:r w:rsidR="00C94A34" w:rsidRPr="00CD4CEA">
        <w:rPr>
          <w:rFonts w:cstheme="minorHAnsi"/>
        </w:rPr>
        <w:t>noted</w:t>
      </w:r>
      <w:r w:rsidR="00292965" w:rsidRPr="00CD4CEA">
        <w:rPr>
          <w:rFonts w:cstheme="minorHAnsi"/>
        </w:rPr>
        <w:t xml:space="preserve"> above, evidence is created against a certain standard, and sometimes these standards limit the amount or type of documentation that is accepted into proceedings and the levels and materials needed to prove abuses will differ from truth and reconciliation commissions or community processes. </w:t>
      </w:r>
      <w:r w:rsidR="009B5346" w:rsidRPr="00CD4CEA">
        <w:rPr>
          <w:rFonts w:cstheme="minorHAnsi"/>
        </w:rPr>
        <w:t xml:space="preserve">Daniela </w:t>
      </w:r>
      <w:proofErr w:type="spellStart"/>
      <w:r w:rsidR="009B5346" w:rsidRPr="00CD4CEA">
        <w:rPr>
          <w:rFonts w:cstheme="minorHAnsi"/>
        </w:rPr>
        <w:t>Accatino</w:t>
      </w:r>
      <w:proofErr w:type="spellEnd"/>
      <w:r w:rsidR="009B5346" w:rsidRPr="00CD4CEA">
        <w:rPr>
          <w:rFonts w:cstheme="minorHAnsi"/>
        </w:rPr>
        <w:t xml:space="preserve"> and Cath Collins speak to the interactions of “judicial truth” and “social truth” and how the rules of evidence and standards of proof can “challenge and transform, in sometimes unpredictable ways, the social legitimacy or veracity previously attributed to such data.”</w:t>
      </w:r>
      <w:r w:rsidR="009B5346" w:rsidRPr="00CD4CEA">
        <w:rPr>
          <w:rStyle w:val="FootnoteReference"/>
          <w:rFonts w:cstheme="minorHAnsi"/>
        </w:rPr>
        <w:footnoteReference w:id="7"/>
      </w:r>
    </w:p>
    <w:p w14:paraId="73BEBAA5" w14:textId="77777777" w:rsidR="00292965" w:rsidRPr="00CD4CEA" w:rsidRDefault="00292965">
      <w:pPr>
        <w:rPr>
          <w:rFonts w:cstheme="minorHAnsi"/>
        </w:rPr>
      </w:pPr>
    </w:p>
    <w:p w14:paraId="770B4F83" w14:textId="7A6D33C2" w:rsidR="005F02F4" w:rsidRPr="00CD4CEA" w:rsidRDefault="009B5346">
      <w:pPr>
        <w:rPr>
          <w:rFonts w:cstheme="minorHAnsi"/>
        </w:rPr>
      </w:pPr>
      <w:r w:rsidRPr="00CD4CEA">
        <w:rPr>
          <w:rFonts w:cstheme="minorHAnsi"/>
        </w:rPr>
        <w:t>While knowledge creation</w:t>
      </w:r>
      <w:r w:rsidR="00823E27" w:rsidRPr="00CD4CEA">
        <w:rPr>
          <w:rFonts w:cstheme="minorHAnsi"/>
        </w:rPr>
        <w:t xml:space="preserve"> is iterative</w:t>
      </w:r>
      <w:r w:rsidRPr="00CD4CEA">
        <w:rPr>
          <w:rFonts w:cstheme="minorHAnsi"/>
        </w:rPr>
        <w:t xml:space="preserve"> </w:t>
      </w:r>
      <w:r w:rsidRPr="001804CA">
        <w:rPr>
          <w:rFonts w:cstheme="minorHAnsi"/>
        </w:rPr>
        <w:t>–</w:t>
      </w:r>
      <w:r w:rsidRPr="00CD4CEA">
        <w:rPr>
          <w:rFonts w:cstheme="minorHAnsi"/>
        </w:rPr>
        <w:t xml:space="preserve"> and as </w:t>
      </w:r>
      <w:r w:rsidR="00C94A34" w:rsidRPr="00CD4CEA">
        <w:rPr>
          <w:rFonts w:cstheme="minorHAnsi"/>
        </w:rPr>
        <w:t>seen</w:t>
      </w:r>
      <w:r w:rsidRPr="00CD4CEA">
        <w:rPr>
          <w:rFonts w:cstheme="minorHAnsi"/>
        </w:rPr>
        <w:t xml:space="preserve"> above </w:t>
      </w:r>
      <w:r w:rsidRPr="001804CA">
        <w:rPr>
          <w:rFonts w:cstheme="minorHAnsi"/>
        </w:rPr>
        <w:t>–</w:t>
      </w:r>
      <w:r w:rsidRPr="00CD4CEA">
        <w:rPr>
          <w:rFonts w:cstheme="minorHAnsi"/>
        </w:rPr>
        <w:t xml:space="preserve"> far from linear</w:t>
      </w:r>
      <w:r w:rsidR="00823E27" w:rsidRPr="00CD4CEA">
        <w:rPr>
          <w:rFonts w:cstheme="minorHAnsi"/>
        </w:rPr>
        <w:t>, it is also critical</w:t>
      </w:r>
      <w:r w:rsidR="00481B14">
        <w:rPr>
          <w:rFonts w:cstheme="minorHAnsi"/>
        </w:rPr>
        <w:t xml:space="preserve"> that,</w:t>
      </w:r>
      <w:r w:rsidR="00823E27" w:rsidRPr="00CD4CEA">
        <w:rPr>
          <w:rFonts w:cstheme="minorHAnsi"/>
        </w:rPr>
        <w:t xml:space="preserve"> </w:t>
      </w:r>
      <w:r w:rsidR="004978A7" w:rsidRPr="00CD4CEA">
        <w:rPr>
          <w:rFonts w:cstheme="minorHAnsi"/>
        </w:rPr>
        <w:t>“…[p]</w:t>
      </w:r>
      <w:proofErr w:type="spellStart"/>
      <w:r w:rsidR="004978A7" w:rsidRPr="00CD4CEA">
        <w:rPr>
          <w:rFonts w:cstheme="minorHAnsi"/>
        </w:rPr>
        <w:t>ractical</w:t>
      </w:r>
      <w:proofErr w:type="spellEnd"/>
      <w:r w:rsidR="004978A7" w:rsidRPr="00CD4CEA">
        <w:rPr>
          <w:rFonts w:cstheme="minorHAnsi"/>
        </w:rPr>
        <w:t xml:space="preserve"> measures of dealing with the past </w:t>
      </w:r>
      <w:r w:rsidR="00823E27" w:rsidRPr="00CD4CEA">
        <w:rPr>
          <w:rFonts w:cstheme="minorHAnsi"/>
        </w:rPr>
        <w:t>[</w:t>
      </w:r>
      <w:r w:rsidR="00481B14">
        <w:rPr>
          <w:rFonts w:cstheme="minorHAnsi"/>
        </w:rPr>
        <w:t>are</w:t>
      </w:r>
      <w:r w:rsidR="00823E27" w:rsidRPr="00CD4CEA">
        <w:rPr>
          <w:rFonts w:cstheme="minorHAnsi"/>
        </w:rPr>
        <w:t>]</w:t>
      </w:r>
      <w:r w:rsidR="004978A7" w:rsidRPr="00CD4CEA">
        <w:rPr>
          <w:rFonts w:cstheme="minorHAnsi"/>
        </w:rPr>
        <w:t xml:space="preserve"> underpinned by accurate knowledge of violations and the contexts which made them possible.</w:t>
      </w:r>
      <w:r w:rsidR="0026432D" w:rsidRPr="00CD4CEA">
        <w:rPr>
          <w:rFonts w:cstheme="minorHAnsi"/>
        </w:rPr>
        <w:t xml:space="preserve"> At a deeper level, [the knowledge creation of the human rights documentation process] can shape narratives of the past and the future, and can arguably help to define a new social contract between citizens and the state following gross human rights violations, and give voice to ongoing tensions and disagreements about what, in fact, constitutes the past.</w:t>
      </w:r>
      <w:r w:rsidR="004978A7" w:rsidRPr="00CD4CEA">
        <w:rPr>
          <w:rFonts w:cstheme="minorHAnsi"/>
        </w:rPr>
        <w:t>”</w:t>
      </w:r>
      <w:r w:rsidR="00823E27" w:rsidRPr="00CD4CEA">
        <w:rPr>
          <w:rStyle w:val="FootnoteReference"/>
          <w:rFonts w:cstheme="minorHAnsi"/>
        </w:rPr>
        <w:footnoteReference w:id="8"/>
      </w:r>
      <w:r w:rsidR="0026432D" w:rsidRPr="00CD4CEA">
        <w:rPr>
          <w:rFonts w:cstheme="minorHAnsi"/>
        </w:rPr>
        <w:t xml:space="preserve"> </w:t>
      </w:r>
    </w:p>
    <w:p w14:paraId="07F6534C" w14:textId="77777777" w:rsidR="00CF1738" w:rsidRPr="00CD4CEA" w:rsidRDefault="00CF1738">
      <w:pPr>
        <w:rPr>
          <w:rFonts w:cstheme="minorHAnsi"/>
        </w:rPr>
      </w:pPr>
    </w:p>
    <w:p w14:paraId="0FE64415" w14:textId="77777777" w:rsidR="0026432D" w:rsidRPr="00CD4CEA" w:rsidRDefault="0026432D">
      <w:pPr>
        <w:rPr>
          <w:rFonts w:cstheme="minorHAnsi"/>
        </w:rPr>
      </w:pPr>
    </w:p>
    <w:p w14:paraId="0FCE9952" w14:textId="77777777" w:rsidR="00862DC6" w:rsidRPr="00CD4CEA" w:rsidRDefault="000F3CA9">
      <w:pPr>
        <w:rPr>
          <w:rFonts w:cstheme="minorHAnsi"/>
        </w:rPr>
      </w:pPr>
      <w:r w:rsidRPr="00CD4CEA">
        <w:rPr>
          <w:rFonts w:cstheme="minorHAnsi"/>
        </w:rPr>
        <w:t>///////////////////////////////////////BOX/////////////////////////////////////////////////////////</w:t>
      </w:r>
    </w:p>
    <w:p w14:paraId="03DCA168" w14:textId="77777777" w:rsidR="00F60446" w:rsidRPr="00CD4CEA" w:rsidRDefault="00F60446" w:rsidP="000F3CA9">
      <w:pPr>
        <w:ind w:left="720" w:firstLine="720"/>
        <w:rPr>
          <w:rFonts w:cstheme="minorHAnsi"/>
        </w:rPr>
      </w:pPr>
    </w:p>
    <w:p w14:paraId="4228B240" w14:textId="77777777" w:rsidR="000F3CA9" w:rsidRPr="00CD4CEA" w:rsidRDefault="000F3CA9" w:rsidP="000F3CA9">
      <w:pPr>
        <w:ind w:left="720" w:firstLine="720"/>
        <w:rPr>
          <w:rFonts w:cstheme="minorHAnsi"/>
        </w:rPr>
      </w:pPr>
      <w:r w:rsidRPr="00CD4CEA">
        <w:rPr>
          <w:rFonts w:cstheme="minorHAnsi"/>
        </w:rPr>
        <w:t>Where is the knowledge we have lost in the information?</w:t>
      </w:r>
    </w:p>
    <w:p w14:paraId="2E4B262E" w14:textId="7AEAEE3F" w:rsidR="000F3CA9" w:rsidRPr="00CD4CEA" w:rsidRDefault="000F3CA9" w:rsidP="000F3CA9">
      <w:pPr>
        <w:pStyle w:val="ListParagraph"/>
        <w:numPr>
          <w:ilvl w:val="0"/>
          <w:numId w:val="6"/>
        </w:numPr>
        <w:rPr>
          <w:rFonts w:cstheme="minorHAnsi"/>
        </w:rPr>
      </w:pPr>
      <w:r w:rsidRPr="00CD4CEA">
        <w:rPr>
          <w:rFonts w:cstheme="minorHAnsi"/>
        </w:rPr>
        <w:t xml:space="preserve">T.S. Eliot, </w:t>
      </w:r>
      <w:r w:rsidRPr="001804CA">
        <w:rPr>
          <w:rFonts w:cstheme="minorHAnsi"/>
          <w:i/>
        </w:rPr>
        <w:t>The Rock</w:t>
      </w:r>
      <w:r w:rsidRPr="00CD4CEA">
        <w:rPr>
          <w:rStyle w:val="FootnoteReference"/>
          <w:rFonts w:cstheme="minorHAnsi"/>
        </w:rPr>
        <w:footnoteReference w:id="9"/>
      </w:r>
      <w:r w:rsidRPr="00CD4CEA">
        <w:rPr>
          <w:rFonts w:cstheme="minorHAnsi"/>
        </w:rPr>
        <w:t xml:space="preserve"> </w:t>
      </w:r>
    </w:p>
    <w:p w14:paraId="14047FE4" w14:textId="77777777" w:rsidR="00F60446" w:rsidRPr="00CD4CEA" w:rsidRDefault="00F60446" w:rsidP="00F60446">
      <w:pPr>
        <w:pStyle w:val="ListParagraph"/>
        <w:ind w:left="3336"/>
        <w:rPr>
          <w:rFonts w:cstheme="minorHAnsi"/>
        </w:rPr>
      </w:pPr>
    </w:p>
    <w:p w14:paraId="0BAB04C1" w14:textId="77777777" w:rsidR="000F3CA9" w:rsidRPr="00CD4CEA" w:rsidRDefault="000F3CA9">
      <w:pPr>
        <w:rPr>
          <w:rFonts w:cstheme="minorHAnsi"/>
        </w:rPr>
      </w:pPr>
      <w:r w:rsidRPr="00CD4CEA">
        <w:rPr>
          <w:rFonts w:cstheme="minorHAnsi"/>
        </w:rPr>
        <w:t>////////////////////////////////////END BOX/////////////////////////////////////////////////////////</w:t>
      </w:r>
    </w:p>
    <w:p w14:paraId="3AE2190F" w14:textId="77777777" w:rsidR="002F42D4" w:rsidRPr="00CD4CEA" w:rsidRDefault="002F42D4">
      <w:pPr>
        <w:rPr>
          <w:rFonts w:cstheme="minorHAnsi"/>
        </w:rPr>
      </w:pPr>
    </w:p>
    <w:p w14:paraId="0EE83017" w14:textId="77777777" w:rsidR="00F60446" w:rsidRPr="00CD4CEA" w:rsidRDefault="00F60446">
      <w:pPr>
        <w:rPr>
          <w:rFonts w:cstheme="minorHAnsi"/>
          <w:b/>
        </w:rPr>
      </w:pPr>
    </w:p>
    <w:p w14:paraId="7C899B73" w14:textId="77777777" w:rsidR="00DB2406" w:rsidRPr="00CD4CEA" w:rsidRDefault="00DB2406">
      <w:pPr>
        <w:rPr>
          <w:rFonts w:cstheme="minorHAnsi"/>
          <w:b/>
        </w:rPr>
      </w:pPr>
      <w:r w:rsidRPr="00CD4CEA">
        <w:rPr>
          <w:rFonts w:cstheme="minorHAnsi"/>
          <w:b/>
        </w:rPr>
        <w:t>The Documentation Stack</w:t>
      </w:r>
    </w:p>
    <w:p w14:paraId="461D745A" w14:textId="2AE82087" w:rsidR="00B35456" w:rsidRPr="00CD4CEA" w:rsidRDefault="00DB2406" w:rsidP="00B35456">
      <w:pPr>
        <w:rPr>
          <w:rFonts w:cstheme="minorHAnsi"/>
        </w:rPr>
      </w:pPr>
      <w:r w:rsidRPr="00CD4CEA">
        <w:rPr>
          <w:rFonts w:cstheme="minorHAnsi"/>
        </w:rPr>
        <w:t>In this day and age, there are more ways than ever to document</w:t>
      </w:r>
      <w:r w:rsidR="00837ABA" w:rsidRPr="00CD4CEA">
        <w:rPr>
          <w:rFonts w:cstheme="minorHAnsi"/>
        </w:rPr>
        <w:t xml:space="preserve"> and collect data on</w:t>
      </w:r>
      <w:r w:rsidRPr="00CD4CEA">
        <w:rPr>
          <w:rFonts w:cstheme="minorHAnsi"/>
        </w:rPr>
        <w:t xml:space="preserve"> human rights violations</w:t>
      </w:r>
      <w:r w:rsidR="00837ABA" w:rsidRPr="00CD4CEA">
        <w:rPr>
          <w:rFonts w:cstheme="minorHAnsi"/>
        </w:rPr>
        <w:t>, increasing our abilities to generate information and knowledge about these events</w:t>
      </w:r>
      <w:r w:rsidRPr="00CD4CEA">
        <w:rPr>
          <w:rFonts w:cstheme="minorHAnsi"/>
        </w:rPr>
        <w:t>. From direct social media posts from victims or perpetrators to satellite im</w:t>
      </w:r>
      <w:r w:rsidR="00252E6C" w:rsidRPr="00CD4CEA">
        <w:rPr>
          <w:rFonts w:cstheme="minorHAnsi"/>
        </w:rPr>
        <w:t>agery</w:t>
      </w:r>
      <w:r w:rsidR="000F7D4D" w:rsidRPr="00CD4CEA">
        <w:rPr>
          <w:rFonts w:cstheme="minorHAnsi"/>
        </w:rPr>
        <w:t>,</w:t>
      </w:r>
      <w:r w:rsidR="00BA02F2" w:rsidRPr="00CD4CEA">
        <w:rPr>
          <w:rFonts w:cstheme="minorHAnsi"/>
        </w:rPr>
        <w:t xml:space="preserve"> </w:t>
      </w:r>
      <w:r w:rsidR="00252E6C" w:rsidRPr="00CD4CEA">
        <w:rPr>
          <w:rFonts w:cstheme="minorHAnsi"/>
        </w:rPr>
        <w:t xml:space="preserve">we can garner information from a variety of sources and tools. </w:t>
      </w:r>
      <w:r w:rsidR="004D4932" w:rsidRPr="00CD4CEA">
        <w:rPr>
          <w:rFonts w:cstheme="minorHAnsi"/>
        </w:rPr>
        <w:t>T</w:t>
      </w:r>
      <w:r w:rsidR="00252E6C" w:rsidRPr="00CD4CEA">
        <w:rPr>
          <w:rFonts w:cstheme="minorHAnsi"/>
        </w:rPr>
        <w:t>his set of tools</w:t>
      </w:r>
      <w:r w:rsidR="004D4932" w:rsidRPr="00CD4CEA">
        <w:rPr>
          <w:rFonts w:cstheme="minorHAnsi"/>
        </w:rPr>
        <w:t xml:space="preserve"> could be referred to</w:t>
      </w:r>
      <w:r w:rsidR="00252E6C" w:rsidRPr="00CD4CEA">
        <w:rPr>
          <w:rFonts w:cstheme="minorHAnsi"/>
        </w:rPr>
        <w:t xml:space="preserve"> a</w:t>
      </w:r>
      <w:r w:rsidR="000E7ECB" w:rsidRPr="00CD4CEA">
        <w:rPr>
          <w:rFonts w:cstheme="minorHAnsi"/>
        </w:rPr>
        <w:t>s</w:t>
      </w:r>
      <w:r w:rsidR="00252E6C" w:rsidRPr="00CD4CEA">
        <w:rPr>
          <w:rFonts w:cstheme="minorHAnsi"/>
        </w:rPr>
        <w:t xml:space="preserve"> the documentation stack. A “stack” is a term taken from the technology field, where a “tech stack” refers to the “collection of tools, platforms, apps, and pieces of software that a company uses to build its products, carry out its business operations, and monitor its performance.</w:t>
      </w:r>
      <w:r w:rsidR="00B33E38">
        <w:rPr>
          <w:rFonts w:cstheme="minorHAnsi"/>
        </w:rPr>
        <w:t>”</w:t>
      </w:r>
      <w:r w:rsidR="00252E6C" w:rsidRPr="00CD4CEA">
        <w:rPr>
          <w:rStyle w:val="FootnoteReference"/>
          <w:rFonts w:cstheme="minorHAnsi"/>
        </w:rPr>
        <w:footnoteReference w:id="10"/>
      </w:r>
    </w:p>
    <w:p w14:paraId="730577FC" w14:textId="77777777" w:rsidR="00252E6C" w:rsidRPr="00CD4CEA" w:rsidRDefault="00252E6C" w:rsidP="00B35456">
      <w:pPr>
        <w:rPr>
          <w:rFonts w:cstheme="minorHAnsi"/>
        </w:rPr>
      </w:pPr>
    </w:p>
    <w:p w14:paraId="33D8EFD7" w14:textId="26349D82" w:rsidR="00252E6C" w:rsidRPr="00CD4CEA" w:rsidRDefault="00252E6C" w:rsidP="00B35456">
      <w:pPr>
        <w:rPr>
          <w:rFonts w:cstheme="minorHAnsi"/>
        </w:rPr>
      </w:pPr>
      <w:r w:rsidRPr="00CD4CEA">
        <w:rPr>
          <w:rFonts w:cstheme="minorHAnsi"/>
        </w:rPr>
        <w:t>The documentation stack could be defined similarly as a set of resources, tools, pieces of software, apps, and platforms that are used to gain</w:t>
      </w:r>
      <w:r w:rsidR="0056331A" w:rsidRPr="00CD4CEA">
        <w:rPr>
          <w:rFonts w:cstheme="minorHAnsi"/>
        </w:rPr>
        <w:t xml:space="preserve"> data and</w:t>
      </w:r>
      <w:r w:rsidRPr="00CD4CEA">
        <w:rPr>
          <w:rFonts w:cstheme="minorHAnsi"/>
        </w:rPr>
        <w:t xml:space="preserve"> information about human rights abuses. The advent of social media and the lowe</w:t>
      </w:r>
      <w:r w:rsidR="007145A5" w:rsidRPr="00CD4CEA">
        <w:rPr>
          <w:rFonts w:cstheme="minorHAnsi"/>
        </w:rPr>
        <w:t>ring costs of technologies mean</w:t>
      </w:r>
      <w:r w:rsidRPr="00CD4CEA">
        <w:rPr>
          <w:rFonts w:cstheme="minorHAnsi"/>
        </w:rPr>
        <w:t xml:space="preserve"> that the documentation stack has grown in recent years</w:t>
      </w:r>
      <w:r w:rsidR="007145A5" w:rsidRPr="00CD4CEA">
        <w:rPr>
          <w:rFonts w:cstheme="minorHAnsi"/>
        </w:rPr>
        <w:t xml:space="preserve">, and includes: </w:t>
      </w:r>
    </w:p>
    <w:p w14:paraId="2475D729" w14:textId="77777777" w:rsidR="00B35456" w:rsidRPr="00CD4CEA" w:rsidRDefault="00B35456" w:rsidP="00B35456">
      <w:pPr>
        <w:rPr>
          <w:rFonts w:cstheme="minorHAnsi"/>
        </w:rPr>
      </w:pPr>
    </w:p>
    <w:p w14:paraId="57CC0161" w14:textId="77777777" w:rsidR="00B35456" w:rsidRPr="00CD4CEA" w:rsidRDefault="00B35456" w:rsidP="00B35456">
      <w:pPr>
        <w:pStyle w:val="ListParagraph"/>
        <w:numPr>
          <w:ilvl w:val="0"/>
          <w:numId w:val="3"/>
        </w:numPr>
        <w:rPr>
          <w:rFonts w:cstheme="minorHAnsi"/>
        </w:rPr>
      </w:pPr>
      <w:r w:rsidRPr="00CD4CEA">
        <w:rPr>
          <w:rFonts w:cstheme="minorHAnsi"/>
        </w:rPr>
        <w:t>Social media posts</w:t>
      </w:r>
    </w:p>
    <w:p w14:paraId="485DDD00" w14:textId="77777777" w:rsidR="00B35456" w:rsidRPr="00CD4CEA" w:rsidRDefault="00D7260C" w:rsidP="00B35456">
      <w:pPr>
        <w:pStyle w:val="ListParagraph"/>
        <w:numPr>
          <w:ilvl w:val="0"/>
          <w:numId w:val="3"/>
        </w:numPr>
        <w:rPr>
          <w:rFonts w:cstheme="minorHAnsi"/>
        </w:rPr>
      </w:pPr>
      <w:r w:rsidRPr="00CD4CEA">
        <w:rPr>
          <w:rFonts w:cstheme="minorHAnsi"/>
        </w:rPr>
        <w:lastRenderedPageBreak/>
        <w:t>Personal</w:t>
      </w:r>
      <w:r w:rsidR="00B35456" w:rsidRPr="00CD4CEA">
        <w:rPr>
          <w:rFonts w:cstheme="minorHAnsi"/>
        </w:rPr>
        <w:t xml:space="preserve"> </w:t>
      </w:r>
      <w:r w:rsidRPr="00CD4CEA">
        <w:rPr>
          <w:rFonts w:cstheme="minorHAnsi"/>
        </w:rPr>
        <w:t>statements</w:t>
      </w:r>
      <w:r w:rsidR="0056331A" w:rsidRPr="00CD4CEA">
        <w:rPr>
          <w:rFonts w:cstheme="minorHAnsi"/>
        </w:rPr>
        <w:t xml:space="preserve"> (testimony)</w:t>
      </w:r>
      <w:r w:rsidRPr="00CD4CEA">
        <w:rPr>
          <w:rFonts w:cstheme="minorHAnsi"/>
        </w:rPr>
        <w:t xml:space="preserve"> from witnesses, victims, perpetrators </w:t>
      </w:r>
    </w:p>
    <w:p w14:paraId="53F41F04" w14:textId="77777777" w:rsidR="00B35456" w:rsidRPr="00CD4CEA" w:rsidRDefault="00B35456" w:rsidP="00B35456">
      <w:pPr>
        <w:pStyle w:val="ListParagraph"/>
        <w:numPr>
          <w:ilvl w:val="0"/>
          <w:numId w:val="3"/>
        </w:numPr>
        <w:rPr>
          <w:rFonts w:cstheme="minorHAnsi"/>
        </w:rPr>
      </w:pPr>
      <w:r w:rsidRPr="00CD4CEA">
        <w:rPr>
          <w:rFonts w:cstheme="minorHAnsi"/>
        </w:rPr>
        <w:t>Physical documents</w:t>
      </w:r>
    </w:p>
    <w:p w14:paraId="5756CA5F" w14:textId="77777777" w:rsidR="00B35456" w:rsidRPr="00CD4CEA" w:rsidRDefault="007145A5" w:rsidP="00B35456">
      <w:pPr>
        <w:pStyle w:val="ListParagraph"/>
        <w:numPr>
          <w:ilvl w:val="0"/>
          <w:numId w:val="3"/>
        </w:numPr>
        <w:rPr>
          <w:rFonts w:cstheme="minorHAnsi"/>
        </w:rPr>
      </w:pPr>
      <w:r w:rsidRPr="00CD4CEA">
        <w:rPr>
          <w:rFonts w:cstheme="minorHAnsi"/>
        </w:rPr>
        <w:t>Videos</w:t>
      </w:r>
    </w:p>
    <w:p w14:paraId="379E8A42" w14:textId="77777777" w:rsidR="007145A5" w:rsidRPr="00CD4CEA" w:rsidRDefault="007145A5" w:rsidP="00B35456">
      <w:pPr>
        <w:pStyle w:val="ListParagraph"/>
        <w:numPr>
          <w:ilvl w:val="0"/>
          <w:numId w:val="3"/>
        </w:numPr>
        <w:rPr>
          <w:rFonts w:cstheme="minorHAnsi"/>
        </w:rPr>
      </w:pPr>
      <w:r w:rsidRPr="00CD4CEA">
        <w:rPr>
          <w:rFonts w:cstheme="minorHAnsi"/>
        </w:rPr>
        <w:t>Pictures</w:t>
      </w:r>
    </w:p>
    <w:p w14:paraId="582AE775" w14:textId="77777777" w:rsidR="00B35456" w:rsidRPr="00CD4CEA" w:rsidRDefault="00B35456" w:rsidP="00B35456">
      <w:pPr>
        <w:pStyle w:val="ListParagraph"/>
        <w:numPr>
          <w:ilvl w:val="0"/>
          <w:numId w:val="3"/>
        </w:numPr>
        <w:rPr>
          <w:rFonts w:cstheme="minorHAnsi"/>
        </w:rPr>
      </w:pPr>
      <w:r w:rsidRPr="00CD4CEA">
        <w:rPr>
          <w:rFonts w:cstheme="minorHAnsi"/>
        </w:rPr>
        <w:t>Satellite imagery</w:t>
      </w:r>
    </w:p>
    <w:p w14:paraId="00FE5969" w14:textId="4B8B3C1F" w:rsidR="00B35456" w:rsidRPr="00CD4CEA" w:rsidRDefault="00D7260C" w:rsidP="00B35456">
      <w:pPr>
        <w:pStyle w:val="ListParagraph"/>
        <w:numPr>
          <w:ilvl w:val="0"/>
          <w:numId w:val="3"/>
        </w:numPr>
        <w:rPr>
          <w:rFonts w:cstheme="minorHAnsi"/>
        </w:rPr>
      </w:pPr>
      <w:r w:rsidRPr="00CD4CEA">
        <w:rPr>
          <w:rFonts w:cstheme="minorHAnsi"/>
        </w:rPr>
        <w:t>Geolocation</w:t>
      </w:r>
      <w:r w:rsidR="007145A5" w:rsidRPr="00CD4CEA">
        <w:rPr>
          <w:rFonts w:cstheme="minorHAnsi"/>
        </w:rPr>
        <w:t>/</w:t>
      </w:r>
      <w:r w:rsidR="00B33E38">
        <w:rPr>
          <w:rFonts w:cstheme="minorHAnsi"/>
        </w:rPr>
        <w:t>m</w:t>
      </w:r>
      <w:r w:rsidR="007145A5" w:rsidRPr="00CD4CEA">
        <w:rPr>
          <w:rFonts w:cstheme="minorHAnsi"/>
        </w:rPr>
        <w:t>apping</w:t>
      </w:r>
      <w:r w:rsidRPr="00CD4CEA">
        <w:rPr>
          <w:rFonts w:cstheme="minorHAnsi"/>
        </w:rPr>
        <w:t xml:space="preserve"> </w:t>
      </w:r>
      <w:r w:rsidR="007145A5" w:rsidRPr="00CD4CEA">
        <w:rPr>
          <w:rFonts w:cstheme="minorHAnsi"/>
        </w:rPr>
        <w:t>tools</w:t>
      </w:r>
    </w:p>
    <w:p w14:paraId="38B8C5D2" w14:textId="77777777" w:rsidR="00F331BC" w:rsidRPr="00CD4CEA" w:rsidRDefault="00D7260C" w:rsidP="00B35456">
      <w:pPr>
        <w:pStyle w:val="ListParagraph"/>
        <w:numPr>
          <w:ilvl w:val="0"/>
          <w:numId w:val="3"/>
        </w:numPr>
        <w:rPr>
          <w:rFonts w:cstheme="minorHAnsi"/>
        </w:rPr>
      </w:pPr>
      <w:r w:rsidRPr="00CD4CEA">
        <w:rPr>
          <w:rFonts w:cstheme="minorHAnsi"/>
        </w:rPr>
        <w:t>Sensors</w:t>
      </w:r>
    </w:p>
    <w:p w14:paraId="2389D75E" w14:textId="378E5E6F" w:rsidR="00F331BC" w:rsidRPr="00CD4CEA" w:rsidRDefault="00F331BC" w:rsidP="00B35456">
      <w:pPr>
        <w:pStyle w:val="ListParagraph"/>
        <w:numPr>
          <w:ilvl w:val="0"/>
          <w:numId w:val="3"/>
        </w:numPr>
        <w:rPr>
          <w:rFonts w:cstheme="minorHAnsi"/>
        </w:rPr>
      </w:pPr>
      <w:r w:rsidRPr="00CD4CEA">
        <w:rPr>
          <w:rFonts w:cstheme="minorHAnsi"/>
        </w:rPr>
        <w:t>Law/</w:t>
      </w:r>
      <w:r w:rsidR="00B33E38">
        <w:rPr>
          <w:rFonts w:cstheme="minorHAnsi"/>
        </w:rPr>
        <w:t>p</w:t>
      </w:r>
      <w:r w:rsidRPr="00CD4CEA">
        <w:rPr>
          <w:rFonts w:cstheme="minorHAnsi"/>
        </w:rPr>
        <w:t>olicy monitoring</w:t>
      </w:r>
    </w:p>
    <w:p w14:paraId="7A17FA6D" w14:textId="77777777" w:rsidR="00D7260C" w:rsidRPr="00CD4CEA" w:rsidRDefault="00F331BC" w:rsidP="00B35456">
      <w:pPr>
        <w:pStyle w:val="ListParagraph"/>
        <w:numPr>
          <w:ilvl w:val="0"/>
          <w:numId w:val="3"/>
        </w:numPr>
        <w:rPr>
          <w:rFonts w:cstheme="minorHAnsi"/>
        </w:rPr>
      </w:pPr>
      <w:r w:rsidRPr="00CD4CEA">
        <w:rPr>
          <w:rFonts w:cstheme="minorHAnsi"/>
        </w:rPr>
        <w:t xml:space="preserve">Surveys/statistical monitoring </w:t>
      </w:r>
      <w:r w:rsidR="00D7260C" w:rsidRPr="00CD4CEA">
        <w:rPr>
          <w:rFonts w:cstheme="minorHAnsi"/>
        </w:rPr>
        <w:t xml:space="preserve"> </w:t>
      </w:r>
    </w:p>
    <w:p w14:paraId="04EF1A2B" w14:textId="77777777" w:rsidR="00B35456" w:rsidRPr="00CD4CEA" w:rsidRDefault="007145A5" w:rsidP="00D7260C">
      <w:pPr>
        <w:pStyle w:val="ListParagraph"/>
        <w:numPr>
          <w:ilvl w:val="0"/>
          <w:numId w:val="3"/>
        </w:numPr>
        <w:rPr>
          <w:rFonts w:cstheme="minorHAnsi"/>
        </w:rPr>
      </w:pPr>
      <w:r w:rsidRPr="00CD4CEA">
        <w:rPr>
          <w:rFonts w:cstheme="minorHAnsi"/>
        </w:rPr>
        <w:t xml:space="preserve">Eyewitness/bystander </w:t>
      </w:r>
      <w:r w:rsidR="008A5817" w:rsidRPr="00CD4CEA">
        <w:rPr>
          <w:rFonts w:cstheme="minorHAnsi"/>
        </w:rPr>
        <w:t>reporting</w:t>
      </w:r>
    </w:p>
    <w:p w14:paraId="63CB8CC1" w14:textId="77777777" w:rsidR="008A5817" w:rsidRPr="00CD4CEA" w:rsidRDefault="007145A5" w:rsidP="008A5817">
      <w:pPr>
        <w:pStyle w:val="ListParagraph"/>
        <w:numPr>
          <w:ilvl w:val="0"/>
          <w:numId w:val="3"/>
        </w:numPr>
        <w:rPr>
          <w:rFonts w:cstheme="minorHAnsi"/>
        </w:rPr>
      </w:pPr>
      <w:r w:rsidRPr="00CD4CEA">
        <w:rPr>
          <w:rFonts w:cstheme="minorHAnsi"/>
        </w:rPr>
        <w:t>M</w:t>
      </w:r>
      <w:r w:rsidR="008A5817" w:rsidRPr="00CD4CEA">
        <w:rPr>
          <w:rFonts w:cstheme="minorHAnsi"/>
        </w:rPr>
        <w:t xml:space="preserve">edia reporting </w:t>
      </w:r>
    </w:p>
    <w:p w14:paraId="12E3BD9B" w14:textId="77777777" w:rsidR="00D7260C" w:rsidRPr="00CD4CEA" w:rsidRDefault="008A5817" w:rsidP="00D7260C">
      <w:pPr>
        <w:pStyle w:val="ListParagraph"/>
        <w:numPr>
          <w:ilvl w:val="0"/>
          <w:numId w:val="3"/>
        </w:numPr>
        <w:rPr>
          <w:rFonts w:cstheme="minorHAnsi"/>
        </w:rPr>
      </w:pPr>
      <w:r w:rsidRPr="00CD4CEA">
        <w:rPr>
          <w:rFonts w:cstheme="minorHAnsi"/>
        </w:rPr>
        <w:t xml:space="preserve">NGO reporting </w:t>
      </w:r>
    </w:p>
    <w:p w14:paraId="45ED8F97" w14:textId="77777777" w:rsidR="00D7260C" w:rsidRPr="00CD4CEA" w:rsidRDefault="007145A5" w:rsidP="00D7260C">
      <w:pPr>
        <w:pStyle w:val="ListParagraph"/>
        <w:numPr>
          <w:ilvl w:val="0"/>
          <w:numId w:val="3"/>
        </w:numPr>
        <w:rPr>
          <w:rFonts w:cstheme="minorHAnsi"/>
        </w:rPr>
      </w:pPr>
      <w:r w:rsidRPr="00CD4CEA">
        <w:rPr>
          <w:rFonts w:cstheme="minorHAnsi"/>
        </w:rPr>
        <w:t>Physical forensic tools</w:t>
      </w:r>
    </w:p>
    <w:p w14:paraId="45AA7B1B" w14:textId="77777777" w:rsidR="00D7260C" w:rsidRPr="00CD4CEA" w:rsidRDefault="00D7260C" w:rsidP="00D7260C">
      <w:pPr>
        <w:pStyle w:val="ListParagraph"/>
        <w:numPr>
          <w:ilvl w:val="0"/>
          <w:numId w:val="3"/>
        </w:numPr>
        <w:rPr>
          <w:rFonts w:cstheme="minorHAnsi"/>
        </w:rPr>
      </w:pPr>
      <w:r w:rsidRPr="00CD4CEA">
        <w:rPr>
          <w:rFonts w:cstheme="minorHAnsi"/>
        </w:rPr>
        <w:t>Digital foren</w:t>
      </w:r>
      <w:r w:rsidR="007145A5" w:rsidRPr="00CD4CEA">
        <w:rPr>
          <w:rFonts w:cstheme="minorHAnsi"/>
        </w:rPr>
        <w:t>sic tools</w:t>
      </w:r>
    </w:p>
    <w:p w14:paraId="3841A030" w14:textId="77777777" w:rsidR="00D7260C" w:rsidRPr="00CD4CEA" w:rsidRDefault="00D7260C" w:rsidP="00D7260C">
      <w:pPr>
        <w:rPr>
          <w:rFonts w:cstheme="minorHAnsi"/>
        </w:rPr>
      </w:pPr>
    </w:p>
    <w:p w14:paraId="48AB220F" w14:textId="77777777" w:rsidR="00B35456" w:rsidRPr="00CD4CEA" w:rsidRDefault="00FE74D9" w:rsidP="00B35456">
      <w:pPr>
        <w:rPr>
          <w:rFonts w:cstheme="minorHAnsi"/>
        </w:rPr>
      </w:pPr>
      <w:r w:rsidRPr="00CD4CEA">
        <w:rPr>
          <w:rFonts w:cstheme="minorHAnsi"/>
        </w:rPr>
        <w:t>////////////////////////////////////////OPEN BOX TEXT///////////////////////////////////////////////</w:t>
      </w:r>
    </w:p>
    <w:p w14:paraId="6846845F" w14:textId="77777777" w:rsidR="00173350" w:rsidRPr="00CD4CEA" w:rsidRDefault="00173350" w:rsidP="00FE74D9">
      <w:pPr>
        <w:jc w:val="center"/>
        <w:rPr>
          <w:rFonts w:cstheme="minorHAnsi"/>
          <w:b/>
        </w:rPr>
      </w:pPr>
    </w:p>
    <w:p w14:paraId="74511211" w14:textId="1736AB2A" w:rsidR="00FE74D9" w:rsidRPr="00CD4CEA" w:rsidRDefault="00FE74D9" w:rsidP="00FE74D9">
      <w:pPr>
        <w:jc w:val="center"/>
        <w:rPr>
          <w:rFonts w:cstheme="minorHAnsi"/>
          <w:b/>
        </w:rPr>
      </w:pPr>
      <w:r w:rsidRPr="00CD4CEA">
        <w:rPr>
          <w:rFonts w:cstheme="minorHAnsi"/>
          <w:b/>
        </w:rPr>
        <w:t xml:space="preserve">What </w:t>
      </w:r>
      <w:r w:rsidR="000E7ECB" w:rsidRPr="00CD4CEA">
        <w:rPr>
          <w:rFonts w:cstheme="minorHAnsi"/>
          <w:b/>
        </w:rPr>
        <w:t>A</w:t>
      </w:r>
      <w:r w:rsidRPr="00CD4CEA">
        <w:rPr>
          <w:rFonts w:cstheme="minorHAnsi"/>
          <w:b/>
        </w:rPr>
        <w:t>bout OSINT?</w:t>
      </w:r>
    </w:p>
    <w:p w14:paraId="652F030B" w14:textId="07F7D780" w:rsidR="00F331BC" w:rsidRPr="00CD4CEA" w:rsidRDefault="00173350" w:rsidP="00F331BC">
      <w:pPr>
        <w:rPr>
          <w:rFonts w:cstheme="minorHAnsi"/>
        </w:rPr>
      </w:pPr>
      <w:r w:rsidRPr="00CD4CEA">
        <w:rPr>
          <w:rFonts w:cstheme="minorHAnsi"/>
        </w:rPr>
        <w:t xml:space="preserve">OSINT stands for open-source intelligence. </w:t>
      </w:r>
      <w:r w:rsidR="00F331BC" w:rsidRPr="00CD4CEA">
        <w:rPr>
          <w:rFonts w:cstheme="minorHAnsi"/>
        </w:rPr>
        <w:t>The Berkeley Protocol on Digital Open-Source Investigations defines it as “publicly available information that any member of the public can observe, purchase or request without requiring special legal status or unauthorized access.”</w:t>
      </w:r>
      <w:r w:rsidR="00F331BC" w:rsidRPr="00CD4CEA">
        <w:rPr>
          <w:rStyle w:val="FootnoteReference"/>
          <w:rFonts w:cstheme="minorHAnsi"/>
        </w:rPr>
        <w:footnoteReference w:id="11"/>
      </w:r>
      <w:r w:rsidR="00F331BC" w:rsidRPr="00CD4CEA">
        <w:rPr>
          <w:rFonts w:cstheme="minorHAnsi"/>
        </w:rPr>
        <w:t xml:space="preserve"> Many of the </w:t>
      </w:r>
      <w:r w:rsidRPr="00CD4CEA">
        <w:rPr>
          <w:rFonts w:cstheme="minorHAnsi"/>
        </w:rPr>
        <w:t xml:space="preserve">tools listed above </w:t>
      </w:r>
      <w:r w:rsidRPr="00CD4CEA">
        <w:rPr>
          <w:rFonts w:cstheme="minorHAnsi"/>
          <w:i/>
        </w:rPr>
        <w:t xml:space="preserve">can provide </w:t>
      </w:r>
      <w:r w:rsidRPr="00CD4CEA">
        <w:rPr>
          <w:rFonts w:cstheme="minorHAnsi"/>
        </w:rPr>
        <w:t>publicly available data (or open source intelligence</w:t>
      </w:r>
      <w:r w:rsidR="00B33E38">
        <w:rPr>
          <w:rFonts w:cstheme="minorHAnsi"/>
        </w:rPr>
        <w:t xml:space="preserve">, </w:t>
      </w:r>
      <w:r w:rsidRPr="00CD4CEA">
        <w:rPr>
          <w:rFonts w:cstheme="minorHAnsi"/>
        </w:rPr>
        <w:t>in this parlance), but can also yield closed source (i</w:t>
      </w:r>
      <w:r w:rsidR="000E7ECB" w:rsidRPr="00CD4CEA">
        <w:rPr>
          <w:rFonts w:cstheme="minorHAnsi"/>
        </w:rPr>
        <w:t>.</w:t>
      </w:r>
      <w:r w:rsidRPr="00CD4CEA">
        <w:rPr>
          <w:rFonts w:cstheme="minorHAnsi"/>
        </w:rPr>
        <w:t>e</w:t>
      </w:r>
      <w:r w:rsidR="000E7ECB" w:rsidRPr="00CD4CEA">
        <w:rPr>
          <w:rFonts w:cstheme="minorHAnsi"/>
        </w:rPr>
        <w:t>.</w:t>
      </w:r>
      <w:r w:rsidRPr="00CD4CEA">
        <w:rPr>
          <w:rFonts w:cstheme="minorHAnsi"/>
        </w:rPr>
        <w:t xml:space="preserve">, not publicly available) data. </w:t>
      </w:r>
      <w:r w:rsidR="00D475FD" w:rsidRPr="00CD4CEA">
        <w:rPr>
          <w:rFonts w:cstheme="minorHAnsi"/>
        </w:rPr>
        <w:t>It is also important to note here that while digital open-source information</w:t>
      </w:r>
      <w:r w:rsidR="000F7D4D" w:rsidRPr="00CD4CEA">
        <w:rPr>
          <w:rFonts w:cstheme="minorHAnsi"/>
        </w:rPr>
        <w:t xml:space="preserve"> is relatively new</w:t>
      </w:r>
      <w:r w:rsidR="00D475FD" w:rsidRPr="00CD4CEA">
        <w:rPr>
          <w:rFonts w:cstheme="minorHAnsi"/>
        </w:rPr>
        <w:t xml:space="preserve"> (</w:t>
      </w:r>
      <w:r w:rsidR="000F7D4D" w:rsidRPr="00CD4CEA">
        <w:rPr>
          <w:rFonts w:cstheme="minorHAnsi"/>
        </w:rPr>
        <w:t xml:space="preserve">including </w:t>
      </w:r>
      <w:r w:rsidR="00D475FD" w:rsidRPr="00CD4CEA">
        <w:rPr>
          <w:rFonts w:cstheme="minorHAnsi"/>
        </w:rPr>
        <w:t>the sheer amount of it in certain contexts</w:t>
      </w:r>
      <w:r w:rsidR="000F7D4D" w:rsidRPr="00CD4CEA">
        <w:rPr>
          <w:rFonts w:cstheme="minorHAnsi"/>
        </w:rPr>
        <w:t>, such as</w:t>
      </w:r>
      <w:r w:rsidR="00D475FD" w:rsidRPr="00CD4CEA">
        <w:rPr>
          <w:rFonts w:cstheme="minorHAnsi"/>
        </w:rPr>
        <w:t xml:space="preserve"> Syria and Ukraine), open-source information </w:t>
      </w:r>
      <w:r w:rsidR="000F7D4D" w:rsidRPr="00CD4CEA">
        <w:rPr>
          <w:rFonts w:cstheme="minorHAnsi"/>
        </w:rPr>
        <w:t>can also include</w:t>
      </w:r>
      <w:r w:rsidR="00894FE9" w:rsidRPr="00CD4CEA">
        <w:rPr>
          <w:rFonts w:cstheme="minorHAnsi"/>
        </w:rPr>
        <w:t xml:space="preserve"> documents, radio programming, or newspaper articles. </w:t>
      </w:r>
    </w:p>
    <w:p w14:paraId="5794BA5A" w14:textId="77777777" w:rsidR="00FE74D9" w:rsidRPr="00CD4CEA" w:rsidRDefault="00FE74D9" w:rsidP="00B35456">
      <w:pPr>
        <w:rPr>
          <w:rFonts w:cstheme="minorHAnsi"/>
        </w:rPr>
      </w:pPr>
    </w:p>
    <w:p w14:paraId="7FBDE41C" w14:textId="77777777" w:rsidR="00FE74D9" w:rsidRPr="00CD4CEA" w:rsidRDefault="00FE74D9" w:rsidP="00B35456">
      <w:pPr>
        <w:rPr>
          <w:rFonts w:cstheme="minorHAnsi"/>
        </w:rPr>
      </w:pPr>
      <w:r w:rsidRPr="00CD4CEA">
        <w:rPr>
          <w:rFonts w:cstheme="minorHAnsi"/>
        </w:rPr>
        <w:t>///////////////////////////////////////END BOX TEXT/////////////////////////////////////////////////</w:t>
      </w:r>
    </w:p>
    <w:p w14:paraId="32E50913" w14:textId="77777777" w:rsidR="00173350" w:rsidRPr="00CD4CEA" w:rsidRDefault="00173350" w:rsidP="00B35456">
      <w:pPr>
        <w:rPr>
          <w:rFonts w:cstheme="minorHAnsi"/>
        </w:rPr>
      </w:pPr>
    </w:p>
    <w:p w14:paraId="1799DDF8" w14:textId="282BCD2C" w:rsidR="00C60973" w:rsidRPr="00CD4CEA" w:rsidRDefault="00B35456" w:rsidP="00B35456">
      <w:pPr>
        <w:rPr>
          <w:rFonts w:cstheme="minorHAnsi"/>
        </w:rPr>
      </w:pPr>
      <w:r w:rsidRPr="00CD4CEA">
        <w:rPr>
          <w:rFonts w:cstheme="minorHAnsi"/>
        </w:rPr>
        <w:t>Th</w:t>
      </w:r>
      <w:r w:rsidR="001039D6" w:rsidRPr="00CD4CEA">
        <w:rPr>
          <w:rFonts w:cstheme="minorHAnsi"/>
        </w:rPr>
        <w:t xml:space="preserve">e increasing variety of documentation tools has led to what is often called the </w:t>
      </w:r>
      <w:r w:rsidR="000F7D4D" w:rsidRPr="00CD4CEA">
        <w:rPr>
          <w:rFonts w:cstheme="minorHAnsi"/>
        </w:rPr>
        <w:t>“</w:t>
      </w:r>
      <w:r w:rsidR="001039D6" w:rsidRPr="00CD4CEA">
        <w:rPr>
          <w:rFonts w:cstheme="minorHAnsi"/>
        </w:rPr>
        <w:t>democratization of human right</w:t>
      </w:r>
      <w:r w:rsidR="00FE74D9" w:rsidRPr="00CD4CEA">
        <w:rPr>
          <w:rFonts w:cstheme="minorHAnsi"/>
        </w:rPr>
        <w:t>s</w:t>
      </w:r>
      <w:r w:rsidR="001039D6" w:rsidRPr="00CD4CEA">
        <w:rPr>
          <w:rFonts w:cstheme="minorHAnsi"/>
        </w:rPr>
        <w:t xml:space="preserve"> documentation,</w:t>
      </w:r>
      <w:r w:rsidR="000F7D4D" w:rsidRPr="00CD4CEA">
        <w:rPr>
          <w:rFonts w:cstheme="minorHAnsi"/>
        </w:rPr>
        <w:t>”</w:t>
      </w:r>
      <w:r w:rsidR="001039D6" w:rsidRPr="00CD4CEA">
        <w:rPr>
          <w:rFonts w:cstheme="minorHAnsi"/>
        </w:rPr>
        <w:t xml:space="preserve"> particularly as tools become </w:t>
      </w:r>
      <w:r w:rsidR="000F7D4D" w:rsidRPr="00CD4CEA">
        <w:rPr>
          <w:rFonts w:cstheme="minorHAnsi"/>
        </w:rPr>
        <w:t xml:space="preserve">more widely </w:t>
      </w:r>
      <w:r w:rsidR="00CB35D2" w:rsidRPr="00CD4CEA">
        <w:rPr>
          <w:rFonts w:cstheme="minorHAnsi"/>
        </w:rPr>
        <w:t>accessible</w:t>
      </w:r>
      <w:r w:rsidR="000F7D4D" w:rsidRPr="00CD4CEA">
        <w:rPr>
          <w:rFonts w:cstheme="minorHAnsi"/>
        </w:rPr>
        <w:t xml:space="preserve">, such </w:t>
      </w:r>
      <w:r w:rsidR="001039D6" w:rsidRPr="00CD4CEA">
        <w:rPr>
          <w:rFonts w:cstheme="minorHAnsi"/>
        </w:rPr>
        <w:t xml:space="preserve">as </w:t>
      </w:r>
      <w:r w:rsidR="000F7D4D" w:rsidRPr="00CD4CEA">
        <w:rPr>
          <w:rFonts w:cstheme="minorHAnsi"/>
        </w:rPr>
        <w:t xml:space="preserve">mobile internet, better and smaller mobile cameras, and dedicated </w:t>
      </w:r>
      <w:r w:rsidR="001039D6" w:rsidRPr="00CD4CEA">
        <w:rPr>
          <w:rFonts w:cstheme="minorHAnsi"/>
        </w:rPr>
        <w:t>a</w:t>
      </w:r>
      <w:r w:rsidR="00EE35A4" w:rsidRPr="00CD4CEA">
        <w:rPr>
          <w:rFonts w:cstheme="minorHAnsi"/>
        </w:rPr>
        <w:t>pps on personal mobile devices. Mobile phones do make it easier for people to docu</w:t>
      </w:r>
      <w:r w:rsidR="00C60973" w:rsidRPr="00CD4CEA">
        <w:rPr>
          <w:rFonts w:cstheme="minorHAnsi"/>
        </w:rPr>
        <w:t>ment abuses, but the ability to pull out a phone and record a possible human rights vi</w:t>
      </w:r>
      <w:r w:rsidR="00FE74D9" w:rsidRPr="00CD4CEA">
        <w:rPr>
          <w:rFonts w:cstheme="minorHAnsi"/>
        </w:rPr>
        <w:t xml:space="preserve">olation is far from universal. Factors that limit people’s ability to openly document abuses include: </w:t>
      </w:r>
      <w:r w:rsidR="00C60973" w:rsidRPr="00CD4CEA">
        <w:rPr>
          <w:rFonts w:cstheme="minorHAnsi"/>
        </w:rPr>
        <w:t xml:space="preserve"> </w:t>
      </w:r>
    </w:p>
    <w:p w14:paraId="04E53230" w14:textId="77777777" w:rsidR="00C60973" w:rsidRPr="00CD4CEA" w:rsidRDefault="00C60973" w:rsidP="00B35456">
      <w:pPr>
        <w:rPr>
          <w:rFonts w:cstheme="minorHAnsi"/>
        </w:rPr>
      </w:pPr>
    </w:p>
    <w:p w14:paraId="67C30CAA" w14:textId="3DD8021A" w:rsidR="0056331A" w:rsidRPr="00CD4CEA" w:rsidRDefault="0056331A" w:rsidP="00F17564">
      <w:pPr>
        <w:pStyle w:val="ListParagraph"/>
        <w:numPr>
          <w:ilvl w:val="0"/>
          <w:numId w:val="5"/>
        </w:numPr>
        <w:rPr>
          <w:rFonts w:cstheme="minorHAnsi"/>
        </w:rPr>
      </w:pPr>
      <w:r w:rsidRPr="00CD4CEA">
        <w:rPr>
          <w:rFonts w:cstheme="minorHAnsi"/>
          <w:b/>
          <w:i/>
        </w:rPr>
        <w:t xml:space="preserve">Lack of </w:t>
      </w:r>
      <w:r w:rsidR="003D5E2D" w:rsidRPr="00CD4CEA">
        <w:rPr>
          <w:rFonts w:cstheme="minorHAnsi"/>
          <w:b/>
          <w:i/>
        </w:rPr>
        <w:t>A</w:t>
      </w:r>
      <w:r w:rsidRPr="00CD4CEA">
        <w:rPr>
          <w:rFonts w:cstheme="minorHAnsi"/>
          <w:b/>
          <w:i/>
        </w:rPr>
        <w:t>ccess.</w:t>
      </w:r>
      <w:r w:rsidRPr="00CD4CEA">
        <w:rPr>
          <w:rFonts w:cstheme="minorHAnsi"/>
        </w:rPr>
        <w:t xml:space="preserve"> Mobile phone and internet usage </w:t>
      </w:r>
      <w:r w:rsidR="0092623E" w:rsidRPr="00CD4CEA">
        <w:rPr>
          <w:rFonts w:cstheme="minorHAnsi"/>
        </w:rPr>
        <w:t>are</w:t>
      </w:r>
      <w:r w:rsidRPr="00CD4CEA">
        <w:rPr>
          <w:rFonts w:cstheme="minorHAnsi"/>
        </w:rPr>
        <w:t xml:space="preserve"> increasing</w:t>
      </w:r>
      <w:r w:rsidR="000E32F4" w:rsidRPr="00CD4CEA">
        <w:rPr>
          <w:rFonts w:cstheme="minorHAnsi"/>
        </w:rPr>
        <w:t xml:space="preserve"> rapidly</w:t>
      </w:r>
      <w:r w:rsidR="0092623E" w:rsidRPr="00CD4CEA">
        <w:rPr>
          <w:rFonts w:cstheme="minorHAnsi"/>
        </w:rPr>
        <w:t>,</w:t>
      </w:r>
      <w:r w:rsidRPr="00CD4CEA">
        <w:rPr>
          <w:rFonts w:cstheme="minorHAnsi"/>
        </w:rPr>
        <w:t xml:space="preserve"> but </w:t>
      </w:r>
      <w:r w:rsidR="00FE74D9" w:rsidRPr="00CD4CEA">
        <w:rPr>
          <w:rFonts w:cstheme="minorHAnsi"/>
        </w:rPr>
        <w:t xml:space="preserve">as of October 2022 </w:t>
      </w:r>
      <w:r w:rsidR="00FE74D9" w:rsidRPr="00CD4CEA">
        <w:rPr>
          <w:rFonts w:cstheme="minorHAnsi"/>
          <w:i/>
        </w:rPr>
        <w:t>more than</w:t>
      </w:r>
      <w:r w:rsidRPr="00CD4CEA">
        <w:rPr>
          <w:rFonts w:cstheme="minorHAnsi"/>
          <w:i/>
        </w:rPr>
        <w:t xml:space="preserve"> one third of the world’s population is still without internet access</w:t>
      </w:r>
      <w:r w:rsidRPr="00CD4CEA">
        <w:rPr>
          <w:rFonts w:cstheme="minorHAnsi"/>
        </w:rPr>
        <w:t>.</w:t>
      </w:r>
      <w:r w:rsidRPr="00CD4CEA">
        <w:rPr>
          <w:rFonts w:cstheme="minorHAnsi"/>
          <w:i/>
        </w:rPr>
        <w:t xml:space="preserve"> </w:t>
      </w:r>
      <w:r w:rsidRPr="00CD4CEA">
        <w:rPr>
          <w:rFonts w:cstheme="minorHAnsi"/>
        </w:rPr>
        <w:t xml:space="preserve">The majority of those without access (just under 3 billion) </w:t>
      </w:r>
      <w:r w:rsidR="000F7D4D" w:rsidRPr="00CD4CEA">
        <w:rPr>
          <w:rFonts w:cstheme="minorHAnsi"/>
        </w:rPr>
        <w:t>reside</w:t>
      </w:r>
      <w:r w:rsidR="00851F3E">
        <w:rPr>
          <w:rFonts w:cstheme="minorHAnsi"/>
        </w:rPr>
        <w:t xml:space="preserve"> in</w:t>
      </w:r>
      <w:r w:rsidRPr="00CD4CEA">
        <w:rPr>
          <w:rFonts w:cstheme="minorHAnsi"/>
        </w:rPr>
        <w:t xml:space="preserve"> south and east Asia </w:t>
      </w:r>
      <w:r w:rsidR="000F7D4D" w:rsidRPr="00CD4CEA">
        <w:rPr>
          <w:rFonts w:cstheme="minorHAnsi"/>
        </w:rPr>
        <w:t xml:space="preserve">and </w:t>
      </w:r>
      <w:r w:rsidRPr="00CD4CEA">
        <w:rPr>
          <w:rFonts w:cstheme="minorHAnsi"/>
        </w:rPr>
        <w:t>Africa.</w:t>
      </w:r>
      <w:r w:rsidRPr="00CD4CEA">
        <w:rPr>
          <w:rStyle w:val="FootnoteReference"/>
          <w:rFonts w:cstheme="minorHAnsi"/>
        </w:rPr>
        <w:footnoteReference w:id="12"/>
      </w:r>
      <w:r w:rsidR="00894FE9" w:rsidRPr="00CD4CEA">
        <w:rPr>
          <w:rFonts w:cstheme="minorHAnsi"/>
        </w:rPr>
        <w:t xml:space="preserve"> Many places remain “off the online map</w:t>
      </w:r>
      <w:r w:rsidR="00B33E38">
        <w:rPr>
          <w:rFonts w:cstheme="minorHAnsi"/>
        </w:rPr>
        <w:t>.</w:t>
      </w:r>
      <w:r w:rsidR="00894FE9" w:rsidRPr="00CD4CEA">
        <w:rPr>
          <w:rFonts w:cstheme="minorHAnsi"/>
        </w:rPr>
        <w:t xml:space="preserve">” </w:t>
      </w:r>
      <w:r w:rsidR="00CB35D2" w:rsidRPr="00CD4CEA">
        <w:rPr>
          <w:rFonts w:cstheme="minorHAnsi"/>
        </w:rPr>
        <w:t>Additionally and relatedly, t</w:t>
      </w:r>
      <w:r w:rsidR="00894FE9" w:rsidRPr="00CD4CEA">
        <w:rPr>
          <w:rFonts w:cstheme="minorHAnsi"/>
        </w:rPr>
        <w:t xml:space="preserve">he structure of the internet is not neutral </w:t>
      </w:r>
      <w:r w:rsidR="00CB35D2" w:rsidRPr="00CD4CEA">
        <w:rPr>
          <w:rFonts w:cstheme="minorHAnsi"/>
        </w:rPr>
        <w:t xml:space="preserve">and not all places or regions have the same resources and tools </w:t>
      </w:r>
      <w:r w:rsidR="00894FE9" w:rsidRPr="00CD4CEA">
        <w:rPr>
          <w:rFonts w:cstheme="minorHAnsi"/>
        </w:rPr>
        <w:t>(</w:t>
      </w:r>
      <w:r w:rsidR="0092623E" w:rsidRPr="00CD4CEA">
        <w:rPr>
          <w:rFonts w:cstheme="minorHAnsi"/>
        </w:rPr>
        <w:t>e.g.</w:t>
      </w:r>
      <w:r w:rsidR="00B33E38">
        <w:rPr>
          <w:rFonts w:cstheme="minorHAnsi"/>
        </w:rPr>
        <w:t>,</w:t>
      </w:r>
      <w:r w:rsidR="0092623E" w:rsidRPr="00CD4CEA">
        <w:rPr>
          <w:rFonts w:cstheme="minorHAnsi"/>
        </w:rPr>
        <w:t xml:space="preserve"> </w:t>
      </w:r>
      <w:r w:rsidR="00CE7A73" w:rsidRPr="00CD4CEA">
        <w:rPr>
          <w:rFonts w:cstheme="minorHAnsi"/>
        </w:rPr>
        <w:t>lesser-known or more uncommon</w:t>
      </w:r>
      <w:r w:rsidR="00894FE9" w:rsidRPr="00CD4CEA">
        <w:rPr>
          <w:rFonts w:cstheme="minorHAnsi"/>
        </w:rPr>
        <w:t xml:space="preserve"> languages are </w:t>
      </w:r>
      <w:r w:rsidR="00CB35D2" w:rsidRPr="00CD4CEA">
        <w:rPr>
          <w:rFonts w:cstheme="minorHAnsi"/>
        </w:rPr>
        <w:t xml:space="preserve">often </w:t>
      </w:r>
      <w:r w:rsidR="00894FE9" w:rsidRPr="00CD4CEA">
        <w:rPr>
          <w:rFonts w:cstheme="minorHAnsi"/>
        </w:rPr>
        <w:t>badly referenced by Google</w:t>
      </w:r>
      <w:r w:rsidR="00CB35D2" w:rsidRPr="00CD4CEA">
        <w:rPr>
          <w:rFonts w:cstheme="minorHAnsi"/>
        </w:rPr>
        <w:t xml:space="preserve"> and other search engines</w:t>
      </w:r>
      <w:r w:rsidR="00B33E38">
        <w:rPr>
          <w:rFonts w:cstheme="minorHAnsi"/>
        </w:rPr>
        <w:t>,</w:t>
      </w:r>
      <w:r w:rsidR="001804CA">
        <w:rPr>
          <w:rFonts w:cstheme="minorHAnsi"/>
        </w:rPr>
        <w:t xml:space="preserve"> and there continue to be</w:t>
      </w:r>
      <w:r w:rsidR="00894FE9" w:rsidRPr="00CD4CEA">
        <w:rPr>
          <w:rFonts w:cstheme="minorHAnsi"/>
        </w:rPr>
        <w:t xml:space="preserve"> </w:t>
      </w:r>
      <w:r w:rsidR="00CB35D2" w:rsidRPr="00CD4CEA">
        <w:rPr>
          <w:rFonts w:cstheme="minorHAnsi"/>
        </w:rPr>
        <w:t>countries or regions where Google Street View or similar street-level imagery does not exist</w:t>
      </w:r>
      <w:r w:rsidR="00D1486B" w:rsidRPr="00CD4CEA">
        <w:rPr>
          <w:rFonts w:cstheme="minorHAnsi"/>
        </w:rPr>
        <w:t>)</w:t>
      </w:r>
      <w:r w:rsidR="00BA02F2" w:rsidRPr="00CD4CEA">
        <w:rPr>
          <w:rFonts w:cstheme="minorHAnsi"/>
        </w:rPr>
        <w:t>.</w:t>
      </w:r>
    </w:p>
    <w:p w14:paraId="40C9BC8F" w14:textId="77777777" w:rsidR="00894FE9" w:rsidRPr="00CD4CEA" w:rsidRDefault="00894FE9" w:rsidP="00894FE9">
      <w:pPr>
        <w:pStyle w:val="ListParagraph"/>
        <w:rPr>
          <w:rFonts w:cstheme="minorHAnsi"/>
        </w:rPr>
      </w:pPr>
    </w:p>
    <w:p w14:paraId="16539BE2" w14:textId="01A76200" w:rsidR="000E32F4" w:rsidRPr="00CD4CEA" w:rsidRDefault="000E32F4" w:rsidP="00C60973">
      <w:pPr>
        <w:pStyle w:val="ListParagraph"/>
        <w:numPr>
          <w:ilvl w:val="0"/>
          <w:numId w:val="4"/>
        </w:numPr>
        <w:rPr>
          <w:rFonts w:cstheme="minorHAnsi"/>
        </w:rPr>
      </w:pPr>
      <w:r w:rsidRPr="00CD4CEA">
        <w:rPr>
          <w:rFonts w:cstheme="minorHAnsi"/>
          <w:b/>
          <w:i/>
        </w:rPr>
        <w:lastRenderedPageBreak/>
        <w:t>Asymmetric</w:t>
      </w:r>
      <w:r w:rsidR="0056331A" w:rsidRPr="00CD4CEA">
        <w:rPr>
          <w:rFonts w:cstheme="minorHAnsi"/>
          <w:b/>
          <w:i/>
        </w:rPr>
        <w:t xml:space="preserve"> </w:t>
      </w:r>
      <w:r w:rsidR="003D5E2D" w:rsidRPr="00CD4CEA">
        <w:rPr>
          <w:rFonts w:cstheme="minorHAnsi"/>
          <w:b/>
          <w:i/>
        </w:rPr>
        <w:t>R</w:t>
      </w:r>
      <w:r w:rsidR="0056331A" w:rsidRPr="00CD4CEA">
        <w:rPr>
          <w:rFonts w:cstheme="minorHAnsi"/>
          <w:b/>
          <w:i/>
        </w:rPr>
        <w:t xml:space="preserve">isk </w:t>
      </w:r>
      <w:r w:rsidR="003D5E2D" w:rsidRPr="00CD4CEA">
        <w:rPr>
          <w:rFonts w:cstheme="minorHAnsi"/>
          <w:b/>
          <w:i/>
        </w:rPr>
        <w:t>P</w:t>
      </w:r>
      <w:r w:rsidR="0056331A" w:rsidRPr="00CD4CEA">
        <w:rPr>
          <w:rFonts w:cstheme="minorHAnsi"/>
          <w:b/>
          <w:i/>
        </w:rPr>
        <w:t>rofiles.</w:t>
      </w:r>
      <w:r w:rsidR="0056331A" w:rsidRPr="00CD4CEA">
        <w:rPr>
          <w:rFonts w:cstheme="minorHAnsi"/>
          <w:i/>
        </w:rPr>
        <w:t xml:space="preserve"> </w:t>
      </w:r>
      <w:r w:rsidR="0056331A" w:rsidRPr="00CD4CEA">
        <w:rPr>
          <w:rFonts w:cstheme="minorHAnsi"/>
        </w:rPr>
        <w:t>The</w:t>
      </w:r>
      <w:r w:rsidR="0056331A" w:rsidRPr="00CD4CEA">
        <w:rPr>
          <w:rFonts w:cstheme="minorHAnsi"/>
          <w:i/>
        </w:rPr>
        <w:t xml:space="preserve"> </w:t>
      </w:r>
      <w:r w:rsidR="0056331A" w:rsidRPr="00CD4CEA">
        <w:rPr>
          <w:rFonts w:cstheme="minorHAnsi"/>
        </w:rPr>
        <w:t>risk associated w</w:t>
      </w:r>
      <w:r w:rsidR="00894FE9" w:rsidRPr="00CD4CEA">
        <w:rPr>
          <w:rFonts w:cstheme="minorHAnsi"/>
        </w:rPr>
        <w:t>ith documenting possible abuses</w:t>
      </w:r>
      <w:r w:rsidR="0056331A" w:rsidRPr="00CD4CEA">
        <w:rPr>
          <w:rFonts w:cstheme="minorHAnsi"/>
        </w:rPr>
        <w:t xml:space="preserve"> </w:t>
      </w:r>
      <w:r w:rsidR="000F7D4D" w:rsidRPr="00CD4CEA">
        <w:rPr>
          <w:rFonts w:cstheme="minorHAnsi"/>
        </w:rPr>
        <w:t xml:space="preserve">can </w:t>
      </w:r>
      <w:r w:rsidR="0056331A" w:rsidRPr="00CD4CEA">
        <w:rPr>
          <w:rFonts w:cstheme="minorHAnsi"/>
        </w:rPr>
        <w:t>range greatly depending on where you live and who you are.</w:t>
      </w:r>
      <w:r w:rsidR="00FE74D9" w:rsidRPr="00CD4CEA">
        <w:rPr>
          <w:rFonts w:cstheme="minorHAnsi"/>
        </w:rPr>
        <w:t xml:space="preserve"> </w:t>
      </w:r>
      <w:r w:rsidR="00894FE9" w:rsidRPr="00CD4CEA">
        <w:rPr>
          <w:rFonts w:cstheme="minorHAnsi"/>
        </w:rPr>
        <w:t xml:space="preserve">There are </w:t>
      </w:r>
      <w:r w:rsidR="00E70FC9" w:rsidRPr="00CD4CEA">
        <w:rPr>
          <w:rFonts w:cstheme="minorHAnsi"/>
        </w:rPr>
        <w:t xml:space="preserve">a </w:t>
      </w:r>
      <w:r w:rsidR="000F7D4D" w:rsidRPr="00CD4CEA">
        <w:rPr>
          <w:rFonts w:cstheme="minorHAnsi"/>
        </w:rPr>
        <w:t>multiplicity</w:t>
      </w:r>
      <w:r w:rsidR="00894FE9" w:rsidRPr="00CD4CEA">
        <w:rPr>
          <w:rFonts w:cstheme="minorHAnsi"/>
        </w:rPr>
        <w:t xml:space="preserve"> of media and information environments globally. The ability to freely document possible human rights abuses requires a baseline of rights and capacities (</w:t>
      </w:r>
      <w:r w:rsidR="00D1486B" w:rsidRPr="00CD4CEA">
        <w:rPr>
          <w:rFonts w:cstheme="minorHAnsi"/>
        </w:rPr>
        <w:t>e.g.,</w:t>
      </w:r>
      <w:r w:rsidR="00894FE9" w:rsidRPr="00CD4CEA">
        <w:rPr>
          <w:rFonts w:cstheme="minorHAnsi"/>
        </w:rPr>
        <w:t xml:space="preserve"> right to record and publish videos, access to internet, freedom of movement, etc.) that are not present everywhere. </w:t>
      </w:r>
      <w:r w:rsidR="00701FBA" w:rsidRPr="00CD4CEA">
        <w:rPr>
          <w:rFonts w:cstheme="minorHAnsi"/>
        </w:rPr>
        <w:t xml:space="preserve">Even in places where these rights are enshrined in law, they may not be </w:t>
      </w:r>
      <w:r w:rsidR="007B73D5" w:rsidRPr="00CD4CEA">
        <w:rPr>
          <w:rFonts w:cstheme="minorHAnsi"/>
        </w:rPr>
        <w:t>equally accessible to all groups within that society</w:t>
      </w:r>
      <w:r w:rsidR="00B17E7E" w:rsidRPr="00CD4CEA">
        <w:rPr>
          <w:rFonts w:cstheme="minorHAnsi"/>
        </w:rPr>
        <w:t xml:space="preserve"> at all times</w:t>
      </w:r>
      <w:r w:rsidR="007B73D5" w:rsidRPr="00CD4CEA">
        <w:rPr>
          <w:rFonts w:cstheme="minorHAnsi"/>
        </w:rPr>
        <w:t xml:space="preserve">.  </w:t>
      </w:r>
    </w:p>
    <w:p w14:paraId="208FF017" w14:textId="77777777" w:rsidR="00894FE9" w:rsidRPr="00CD4CEA" w:rsidRDefault="00894FE9" w:rsidP="00894FE9">
      <w:pPr>
        <w:pStyle w:val="ListParagraph"/>
        <w:rPr>
          <w:rFonts w:cstheme="minorHAnsi"/>
        </w:rPr>
      </w:pPr>
    </w:p>
    <w:p w14:paraId="4CFA64AB" w14:textId="32D99949" w:rsidR="00C60973" w:rsidRPr="00CD4CEA" w:rsidRDefault="000E32F4" w:rsidP="00C60973">
      <w:pPr>
        <w:pStyle w:val="ListParagraph"/>
        <w:numPr>
          <w:ilvl w:val="0"/>
          <w:numId w:val="4"/>
        </w:numPr>
        <w:rPr>
          <w:rFonts w:cstheme="minorHAnsi"/>
        </w:rPr>
      </w:pPr>
      <w:r w:rsidRPr="003F449B">
        <w:rPr>
          <w:rFonts w:cstheme="minorHAnsi"/>
          <w:b/>
          <w:i/>
        </w:rPr>
        <w:t xml:space="preserve">Internet </w:t>
      </w:r>
      <w:r w:rsidR="003D5E2D" w:rsidRPr="003F449B">
        <w:rPr>
          <w:rFonts w:cstheme="minorHAnsi"/>
          <w:b/>
          <w:i/>
        </w:rPr>
        <w:t>S</w:t>
      </w:r>
      <w:r w:rsidRPr="003F449B">
        <w:rPr>
          <w:rFonts w:cstheme="minorHAnsi"/>
          <w:b/>
          <w:i/>
        </w:rPr>
        <w:t>hutdowns.</w:t>
      </w:r>
      <w:r w:rsidR="009B1DA3" w:rsidRPr="00CD4CEA">
        <w:rPr>
          <w:rFonts w:cstheme="minorHAnsi"/>
        </w:rPr>
        <w:t xml:space="preserve"> An internet shutdown is an </w:t>
      </w:r>
      <w:r w:rsidR="00BA02F2" w:rsidRPr="00CD4CEA">
        <w:rPr>
          <w:rFonts w:cstheme="minorHAnsi"/>
        </w:rPr>
        <w:t>“</w:t>
      </w:r>
      <w:r w:rsidR="009B1DA3" w:rsidRPr="00CD4CEA">
        <w:rPr>
          <w:rFonts w:cstheme="minorHAnsi"/>
        </w:rPr>
        <w:t>intentional disruption of internet or electronic communications, rendering them inaccessible or effectively unusable, for a specific population or within a location, often to exert control over the flow of information</w:t>
      </w:r>
      <w:r w:rsidR="0092623E" w:rsidRPr="00CD4CEA">
        <w:rPr>
          <w:rFonts w:cstheme="minorHAnsi"/>
        </w:rPr>
        <w:t>.</w:t>
      </w:r>
      <w:r w:rsidR="00BA02F2" w:rsidRPr="00CD4CEA">
        <w:rPr>
          <w:rFonts w:cstheme="minorHAnsi"/>
        </w:rPr>
        <w:t>”</w:t>
      </w:r>
      <w:r w:rsidR="00340838" w:rsidRPr="00CD4CEA">
        <w:rPr>
          <w:rStyle w:val="FootnoteReference"/>
          <w:rFonts w:cstheme="minorHAnsi"/>
        </w:rPr>
        <w:footnoteReference w:id="13"/>
      </w:r>
      <w:r w:rsidR="009B1DA3" w:rsidRPr="00CD4CEA">
        <w:rPr>
          <w:rFonts w:cstheme="minorHAnsi"/>
        </w:rPr>
        <w:t xml:space="preserve"> Governments have shown an increasing willingness to shutdown internet access </w:t>
      </w:r>
      <w:r w:rsidR="00340838" w:rsidRPr="00CD4CEA">
        <w:rPr>
          <w:rFonts w:cstheme="minorHAnsi"/>
        </w:rPr>
        <w:t>around events where human rights violations may take place (</w:t>
      </w:r>
      <w:r w:rsidR="001804CA">
        <w:rPr>
          <w:rFonts w:cstheme="minorHAnsi"/>
        </w:rPr>
        <w:t xml:space="preserve">such as </w:t>
      </w:r>
      <w:r w:rsidR="00340838" w:rsidRPr="00CD4CEA">
        <w:rPr>
          <w:rFonts w:cstheme="minorHAnsi"/>
        </w:rPr>
        <w:t xml:space="preserve">protests or elections) to decrease exposure and hamper documentation efforts. </w:t>
      </w:r>
      <w:r w:rsidR="00B17E7E" w:rsidRPr="00CD4CEA">
        <w:rPr>
          <w:rFonts w:cstheme="minorHAnsi"/>
        </w:rPr>
        <w:t>R</w:t>
      </w:r>
      <w:r w:rsidR="00F331BC" w:rsidRPr="00CD4CEA">
        <w:rPr>
          <w:rFonts w:cstheme="minorHAnsi"/>
        </w:rPr>
        <w:t xml:space="preserve">esearch by </w:t>
      </w:r>
      <w:r w:rsidR="00B17E7E" w:rsidRPr="00CD4CEA">
        <w:rPr>
          <w:rFonts w:cstheme="minorHAnsi"/>
        </w:rPr>
        <w:t xml:space="preserve">the NGO </w:t>
      </w:r>
      <w:proofErr w:type="spellStart"/>
      <w:r w:rsidR="00F331BC" w:rsidRPr="00CD4CEA">
        <w:rPr>
          <w:rFonts w:cstheme="minorHAnsi"/>
        </w:rPr>
        <w:t>Net</w:t>
      </w:r>
      <w:r w:rsidR="0092623E" w:rsidRPr="00CD4CEA">
        <w:rPr>
          <w:rFonts w:cstheme="minorHAnsi"/>
        </w:rPr>
        <w:t>B</w:t>
      </w:r>
      <w:r w:rsidR="00F331BC" w:rsidRPr="00CD4CEA">
        <w:rPr>
          <w:rFonts w:cstheme="minorHAnsi"/>
        </w:rPr>
        <w:t>locks</w:t>
      </w:r>
      <w:proofErr w:type="spellEnd"/>
      <w:r w:rsidR="00B17E7E" w:rsidRPr="00CD4CEA">
        <w:rPr>
          <w:rFonts w:cstheme="minorHAnsi"/>
        </w:rPr>
        <w:t xml:space="preserve"> shows that shutdowns are disrupting networks for longer periods of time and over greater geographical areas (i</w:t>
      </w:r>
      <w:r w:rsidR="00186E9D" w:rsidRPr="00CD4CEA">
        <w:rPr>
          <w:rFonts w:cstheme="minorHAnsi"/>
        </w:rPr>
        <w:t>.</w:t>
      </w:r>
      <w:r w:rsidR="00B17E7E" w:rsidRPr="00CD4CEA">
        <w:rPr>
          <w:rFonts w:cstheme="minorHAnsi"/>
        </w:rPr>
        <w:t>e</w:t>
      </w:r>
      <w:r w:rsidR="00186E9D" w:rsidRPr="00CD4CEA">
        <w:rPr>
          <w:rFonts w:cstheme="minorHAnsi"/>
        </w:rPr>
        <w:t>.</w:t>
      </w:r>
      <w:r w:rsidR="00B17E7E" w:rsidRPr="00CD4CEA">
        <w:rPr>
          <w:rFonts w:cstheme="minorHAnsi"/>
        </w:rPr>
        <w:t>, not just a region, but an entire state)</w:t>
      </w:r>
      <w:r w:rsidR="00F331BC" w:rsidRPr="00CD4CEA">
        <w:rPr>
          <w:rFonts w:cstheme="minorHAnsi"/>
        </w:rPr>
        <w:t>.</w:t>
      </w:r>
      <w:r w:rsidR="00B17E7E" w:rsidRPr="00CD4CEA">
        <w:rPr>
          <w:rStyle w:val="FootnoteReference"/>
          <w:rFonts w:cstheme="minorHAnsi"/>
        </w:rPr>
        <w:footnoteReference w:id="14"/>
      </w:r>
      <w:r w:rsidR="00F331BC" w:rsidRPr="00CD4CEA">
        <w:rPr>
          <w:rFonts w:cstheme="minorHAnsi"/>
        </w:rPr>
        <w:t xml:space="preserve"> </w:t>
      </w:r>
    </w:p>
    <w:p w14:paraId="3CF4C472" w14:textId="77777777" w:rsidR="007B73D5" w:rsidRPr="00CD4CEA" w:rsidRDefault="007B73D5" w:rsidP="00B35456">
      <w:pPr>
        <w:rPr>
          <w:rFonts w:cstheme="minorHAnsi"/>
        </w:rPr>
      </w:pPr>
    </w:p>
    <w:p w14:paraId="15211877" w14:textId="4443AB96" w:rsidR="00717444" w:rsidRPr="00CD4CEA" w:rsidRDefault="00D1486B" w:rsidP="00B35456">
      <w:pPr>
        <w:rPr>
          <w:rFonts w:cstheme="minorHAnsi"/>
        </w:rPr>
      </w:pPr>
      <w:r w:rsidRPr="00CD4CEA">
        <w:rPr>
          <w:rFonts w:cstheme="minorHAnsi"/>
        </w:rPr>
        <w:t xml:space="preserve">The Russian invasion into </w:t>
      </w:r>
      <w:r w:rsidR="00686973" w:rsidRPr="00CD4CEA">
        <w:rPr>
          <w:rFonts w:cstheme="minorHAnsi"/>
        </w:rPr>
        <w:t>Ukraine is</w:t>
      </w:r>
      <w:r w:rsidR="000F7D4D" w:rsidRPr="00CD4CEA">
        <w:rPr>
          <w:rFonts w:cstheme="minorHAnsi"/>
        </w:rPr>
        <w:t xml:space="preserve"> arguably</w:t>
      </w:r>
      <w:r w:rsidR="00686973" w:rsidRPr="00CD4CEA">
        <w:rPr>
          <w:rFonts w:cstheme="minorHAnsi"/>
        </w:rPr>
        <w:t xml:space="preserve"> the m</w:t>
      </w:r>
      <w:r w:rsidR="0084638B" w:rsidRPr="00CD4CEA">
        <w:rPr>
          <w:rFonts w:cstheme="minorHAnsi"/>
        </w:rPr>
        <w:t>ost heavily documented conflict</w:t>
      </w:r>
      <w:r w:rsidR="00686973" w:rsidRPr="00CD4CEA">
        <w:rPr>
          <w:rFonts w:cstheme="minorHAnsi"/>
        </w:rPr>
        <w:t xml:space="preserve"> in</w:t>
      </w:r>
      <w:r w:rsidR="0084638B" w:rsidRPr="00CD4CEA">
        <w:rPr>
          <w:rFonts w:cstheme="minorHAnsi"/>
        </w:rPr>
        <w:t xml:space="preserve"> history, with a massive trove</w:t>
      </w:r>
      <w:r w:rsidR="00686973" w:rsidRPr="00CD4CEA">
        <w:rPr>
          <w:rFonts w:cstheme="minorHAnsi"/>
        </w:rPr>
        <w:t xml:space="preserve"> of visual im</w:t>
      </w:r>
      <w:r w:rsidR="007A3380" w:rsidRPr="00CD4CEA">
        <w:rPr>
          <w:rFonts w:cstheme="minorHAnsi"/>
        </w:rPr>
        <w:t>agery</w:t>
      </w:r>
      <w:r w:rsidR="0084638B" w:rsidRPr="00CD4CEA">
        <w:rPr>
          <w:rFonts w:cstheme="minorHAnsi"/>
        </w:rPr>
        <w:t xml:space="preserve"> and other forms of documentation that has </w:t>
      </w:r>
      <w:r w:rsidR="000F7D4D" w:rsidRPr="00CD4CEA">
        <w:rPr>
          <w:rFonts w:cstheme="minorHAnsi"/>
        </w:rPr>
        <w:t xml:space="preserve">almost certainly </w:t>
      </w:r>
      <w:r w:rsidR="0084638B" w:rsidRPr="00CD4CEA">
        <w:rPr>
          <w:rFonts w:cstheme="minorHAnsi"/>
        </w:rPr>
        <w:t>already surpassed the rate</w:t>
      </w:r>
      <w:r w:rsidR="000F7D4D" w:rsidRPr="00CD4CEA">
        <w:rPr>
          <w:rFonts w:cstheme="minorHAnsi"/>
        </w:rPr>
        <w:t xml:space="preserve"> and volume</w:t>
      </w:r>
      <w:r w:rsidR="0084638B" w:rsidRPr="00CD4CEA">
        <w:rPr>
          <w:rFonts w:cstheme="minorHAnsi"/>
        </w:rPr>
        <w:t xml:space="preserve"> of documentation in Syria, the previous benchmark. However, this is far from the norm. While documentation rates have increased thanks to the new tools in our documentation stack, there remains</w:t>
      </w:r>
      <w:r w:rsidR="00643C8A" w:rsidRPr="00CD4CEA">
        <w:rPr>
          <w:rFonts w:cstheme="minorHAnsi"/>
        </w:rPr>
        <w:t xml:space="preserve"> too</w:t>
      </w:r>
      <w:r w:rsidR="0084638B" w:rsidRPr="00CD4CEA">
        <w:rPr>
          <w:rFonts w:cstheme="minorHAnsi"/>
        </w:rPr>
        <w:t xml:space="preserve"> great</w:t>
      </w:r>
      <w:r w:rsidR="00643C8A" w:rsidRPr="00CD4CEA">
        <w:rPr>
          <w:rFonts w:cstheme="minorHAnsi"/>
        </w:rPr>
        <w:t xml:space="preserve"> a</w:t>
      </w:r>
      <w:r w:rsidR="0084638B" w:rsidRPr="00CD4CEA">
        <w:rPr>
          <w:rFonts w:cstheme="minorHAnsi"/>
        </w:rPr>
        <w:t xml:space="preserve"> disparity in </w:t>
      </w:r>
      <w:r w:rsidR="00643C8A" w:rsidRPr="00CD4CEA">
        <w:rPr>
          <w:rFonts w:cstheme="minorHAnsi"/>
        </w:rPr>
        <w:t xml:space="preserve">documentation capacity and reach between conflicts. This means that in some cases </w:t>
      </w:r>
      <w:r w:rsidR="00C94A34" w:rsidRPr="00CD4CEA">
        <w:rPr>
          <w:rFonts w:cstheme="minorHAnsi"/>
        </w:rPr>
        <w:t>there is</w:t>
      </w:r>
      <w:r w:rsidR="00643C8A" w:rsidRPr="00CD4CEA">
        <w:rPr>
          <w:rFonts w:cstheme="minorHAnsi"/>
        </w:rPr>
        <w:t xml:space="preserve"> an over-abundance of documentation and a paucity of documentation</w:t>
      </w:r>
      <w:r w:rsidR="00C94A34" w:rsidRPr="00CD4CEA">
        <w:rPr>
          <w:rFonts w:cstheme="minorHAnsi"/>
        </w:rPr>
        <w:t xml:space="preserve"> in others</w:t>
      </w:r>
      <w:r w:rsidR="00643C8A" w:rsidRPr="00CD4CEA">
        <w:rPr>
          <w:rFonts w:cstheme="minorHAnsi"/>
        </w:rPr>
        <w:t xml:space="preserve">. </w:t>
      </w:r>
    </w:p>
    <w:p w14:paraId="31B458E9" w14:textId="77777777" w:rsidR="00717444" w:rsidRPr="00CD4CEA" w:rsidRDefault="00717444" w:rsidP="00B35456">
      <w:pPr>
        <w:rPr>
          <w:rFonts w:cstheme="minorHAnsi"/>
        </w:rPr>
      </w:pPr>
    </w:p>
    <w:p w14:paraId="6EC3A7A7" w14:textId="03FBE6E9" w:rsidR="00A83876" w:rsidRPr="00CD4CEA" w:rsidRDefault="007B73D5" w:rsidP="00B35456">
      <w:pPr>
        <w:rPr>
          <w:rFonts w:cstheme="minorHAnsi"/>
        </w:rPr>
      </w:pPr>
      <w:r w:rsidRPr="00CD4CEA">
        <w:rPr>
          <w:rFonts w:cstheme="minorHAnsi"/>
        </w:rPr>
        <w:t>The more tools in the documentation stack, the greater redundancy buil</w:t>
      </w:r>
      <w:r w:rsidR="00C94A34" w:rsidRPr="00CD4CEA">
        <w:rPr>
          <w:rFonts w:cstheme="minorHAnsi"/>
        </w:rPr>
        <w:t>t</w:t>
      </w:r>
      <w:r w:rsidRPr="00CD4CEA">
        <w:rPr>
          <w:rFonts w:cstheme="minorHAnsi"/>
        </w:rPr>
        <w:t xml:space="preserve"> </w:t>
      </w:r>
      <w:r w:rsidR="00862DC6" w:rsidRPr="00CD4CEA">
        <w:rPr>
          <w:rFonts w:cstheme="minorHAnsi"/>
        </w:rPr>
        <w:t xml:space="preserve">into the human rights information gathering ecosystem. </w:t>
      </w:r>
      <w:r w:rsidR="008F3D2E" w:rsidRPr="00CD4CEA">
        <w:rPr>
          <w:rFonts w:cstheme="minorHAnsi"/>
        </w:rPr>
        <w:t xml:space="preserve">Redundancy makes it harder to hide, obfuscate, or ignore concerns of ongoing violations </w:t>
      </w:r>
      <w:r w:rsidR="00A83876" w:rsidRPr="00CD4CEA">
        <w:rPr>
          <w:rFonts w:cstheme="minorHAnsi"/>
        </w:rPr>
        <w:t xml:space="preserve">for two </w:t>
      </w:r>
      <w:r w:rsidR="008F3D2E" w:rsidRPr="00CD4CEA">
        <w:rPr>
          <w:rFonts w:cstheme="minorHAnsi"/>
        </w:rPr>
        <w:t xml:space="preserve">critical </w:t>
      </w:r>
      <w:r w:rsidR="00A83876" w:rsidRPr="00CD4CEA">
        <w:rPr>
          <w:rFonts w:cstheme="minorHAnsi"/>
        </w:rPr>
        <w:t>reasons:</w:t>
      </w:r>
    </w:p>
    <w:p w14:paraId="630396AB" w14:textId="77777777" w:rsidR="00A83876" w:rsidRPr="00CD4CEA" w:rsidRDefault="00A83876" w:rsidP="00B35456">
      <w:pPr>
        <w:rPr>
          <w:rFonts w:cstheme="minorHAnsi"/>
        </w:rPr>
      </w:pPr>
    </w:p>
    <w:p w14:paraId="1BB818A2" w14:textId="0A388519" w:rsidR="00862DC6" w:rsidRPr="00CD4CEA" w:rsidRDefault="008F3D2E" w:rsidP="00A83876">
      <w:pPr>
        <w:pStyle w:val="ListParagraph"/>
        <w:numPr>
          <w:ilvl w:val="0"/>
          <w:numId w:val="20"/>
        </w:numPr>
        <w:rPr>
          <w:rFonts w:cstheme="minorHAnsi"/>
        </w:rPr>
      </w:pPr>
      <w:r w:rsidRPr="00CD4CEA">
        <w:rPr>
          <w:rFonts w:cstheme="minorHAnsi"/>
          <w:b/>
          <w:i/>
        </w:rPr>
        <w:t xml:space="preserve">Redundancy </w:t>
      </w:r>
      <w:r w:rsidR="00186E9D" w:rsidRPr="00CD4CEA">
        <w:rPr>
          <w:rFonts w:cstheme="minorHAnsi"/>
          <w:b/>
          <w:i/>
        </w:rPr>
        <w:t>L</w:t>
      </w:r>
      <w:r w:rsidRPr="00CD4CEA">
        <w:rPr>
          <w:rFonts w:cstheme="minorHAnsi"/>
          <w:b/>
          <w:i/>
        </w:rPr>
        <w:t xml:space="preserve">imits </w:t>
      </w:r>
      <w:r w:rsidR="00186E9D" w:rsidRPr="00CD4CEA">
        <w:rPr>
          <w:rFonts w:cstheme="minorHAnsi"/>
          <w:b/>
          <w:i/>
        </w:rPr>
        <w:t>R</w:t>
      </w:r>
      <w:r w:rsidRPr="00CD4CEA">
        <w:rPr>
          <w:rFonts w:cstheme="minorHAnsi"/>
          <w:b/>
          <w:i/>
        </w:rPr>
        <w:t xml:space="preserve">eliance on a </w:t>
      </w:r>
      <w:r w:rsidR="00186E9D" w:rsidRPr="00CD4CEA">
        <w:rPr>
          <w:rFonts w:cstheme="minorHAnsi"/>
          <w:b/>
          <w:i/>
        </w:rPr>
        <w:t>S</w:t>
      </w:r>
      <w:r w:rsidRPr="00CD4CEA">
        <w:rPr>
          <w:rFonts w:cstheme="minorHAnsi"/>
          <w:b/>
          <w:i/>
        </w:rPr>
        <w:t xml:space="preserve">ingle </w:t>
      </w:r>
      <w:r w:rsidR="00186E9D" w:rsidRPr="00CD4CEA">
        <w:rPr>
          <w:rFonts w:cstheme="minorHAnsi"/>
          <w:b/>
          <w:i/>
        </w:rPr>
        <w:t>D</w:t>
      </w:r>
      <w:r w:rsidRPr="00CD4CEA">
        <w:rPr>
          <w:rFonts w:cstheme="minorHAnsi"/>
          <w:b/>
          <w:i/>
        </w:rPr>
        <w:t xml:space="preserve">ocumentation </w:t>
      </w:r>
      <w:r w:rsidR="00186E9D" w:rsidRPr="00CD4CEA">
        <w:rPr>
          <w:rFonts w:cstheme="minorHAnsi"/>
          <w:b/>
          <w:i/>
        </w:rPr>
        <w:t>T</w:t>
      </w:r>
      <w:r w:rsidRPr="00CD4CEA">
        <w:rPr>
          <w:rFonts w:cstheme="minorHAnsi"/>
          <w:b/>
          <w:i/>
        </w:rPr>
        <w:t>ool.</w:t>
      </w:r>
      <w:r w:rsidRPr="00CD4CEA">
        <w:rPr>
          <w:rFonts w:cstheme="minorHAnsi"/>
          <w:b/>
        </w:rPr>
        <w:t xml:space="preserve"> </w:t>
      </w:r>
      <w:r w:rsidR="00B17E7E" w:rsidRPr="00CD4CEA">
        <w:rPr>
          <w:rFonts w:cstheme="minorHAnsi"/>
        </w:rPr>
        <w:t xml:space="preserve">For example, if a government shuts down the internet networks around an election, ongoing local monitoring networks can still document events on the ground and satellite imagery can still produce time-lapse images, even if social media sites and internet access is blocked. </w:t>
      </w:r>
      <w:r w:rsidR="00A4406E" w:rsidRPr="00CD4CEA">
        <w:rPr>
          <w:rFonts w:cstheme="minorHAnsi"/>
        </w:rPr>
        <w:t>If the cost of satellite imagery is prohibitively expensive, then surveys can help to understand the movements of people.</w:t>
      </w:r>
      <w:r w:rsidR="00641758" w:rsidRPr="00CD4CEA">
        <w:rPr>
          <w:rFonts w:cstheme="minorHAnsi"/>
        </w:rPr>
        <w:t xml:space="preserve"> </w:t>
      </w:r>
      <w:r w:rsidR="00964E75" w:rsidRPr="00CD4CEA">
        <w:rPr>
          <w:rFonts w:cstheme="minorHAnsi"/>
        </w:rPr>
        <w:t xml:space="preserve">In visual terms, if you think of each documentation tool as a block in the stack, the more blocks we have at our disposal, the less disruption is caused when blocks are pulled out of the stack. In other words, it is getting harder for nefarious actors to control and/or stop </w:t>
      </w:r>
      <w:r w:rsidR="00964E75" w:rsidRPr="00CD4CEA">
        <w:rPr>
          <w:rFonts w:cstheme="minorHAnsi"/>
          <w:i/>
        </w:rPr>
        <w:t xml:space="preserve">all </w:t>
      </w:r>
      <w:r w:rsidR="00964E75" w:rsidRPr="00CD4CEA">
        <w:rPr>
          <w:rFonts w:cstheme="minorHAnsi"/>
        </w:rPr>
        <w:t xml:space="preserve">information flows around a given event. It is also becoming increasingly noticeable when they do try to control or stop information flows, which serves as an indicator in and of itself. </w:t>
      </w:r>
    </w:p>
    <w:p w14:paraId="0095B1A8" w14:textId="77777777" w:rsidR="00A83876" w:rsidRPr="00CD4CEA" w:rsidRDefault="00A83876" w:rsidP="00A83876">
      <w:pPr>
        <w:pStyle w:val="ListParagraph"/>
        <w:ind w:left="775"/>
        <w:rPr>
          <w:rFonts w:cstheme="minorHAnsi"/>
        </w:rPr>
      </w:pPr>
    </w:p>
    <w:p w14:paraId="09CD335B" w14:textId="5C11D7EC" w:rsidR="00A83876" w:rsidRPr="00CD4CEA" w:rsidRDefault="00A83876" w:rsidP="00A83876">
      <w:pPr>
        <w:pStyle w:val="ListParagraph"/>
        <w:numPr>
          <w:ilvl w:val="0"/>
          <w:numId w:val="20"/>
        </w:numPr>
        <w:rPr>
          <w:rFonts w:cstheme="minorHAnsi"/>
        </w:rPr>
      </w:pPr>
      <w:r w:rsidRPr="00CD4CEA">
        <w:rPr>
          <w:rFonts w:cstheme="minorHAnsi"/>
          <w:b/>
          <w:i/>
        </w:rPr>
        <w:t xml:space="preserve">Redundancy </w:t>
      </w:r>
      <w:r w:rsidR="00186E9D" w:rsidRPr="00CD4CEA">
        <w:rPr>
          <w:rFonts w:cstheme="minorHAnsi"/>
          <w:b/>
          <w:i/>
        </w:rPr>
        <w:t>M</w:t>
      </w:r>
      <w:r w:rsidRPr="00CD4CEA">
        <w:rPr>
          <w:rFonts w:cstheme="minorHAnsi"/>
          <w:b/>
          <w:i/>
        </w:rPr>
        <w:t xml:space="preserve">akes it </w:t>
      </w:r>
      <w:r w:rsidR="00186E9D" w:rsidRPr="00CD4CEA">
        <w:rPr>
          <w:rFonts w:cstheme="minorHAnsi"/>
          <w:b/>
          <w:i/>
        </w:rPr>
        <w:t>E</w:t>
      </w:r>
      <w:r w:rsidRPr="00CD4CEA">
        <w:rPr>
          <w:rFonts w:cstheme="minorHAnsi"/>
          <w:b/>
          <w:i/>
        </w:rPr>
        <w:t xml:space="preserve">asier to </w:t>
      </w:r>
      <w:r w:rsidR="00186E9D" w:rsidRPr="00CD4CEA">
        <w:rPr>
          <w:rFonts w:cstheme="minorHAnsi"/>
          <w:b/>
          <w:i/>
        </w:rPr>
        <w:t>V</w:t>
      </w:r>
      <w:r w:rsidRPr="00CD4CEA">
        <w:rPr>
          <w:rFonts w:cstheme="minorHAnsi"/>
          <w:b/>
          <w:i/>
        </w:rPr>
        <w:t xml:space="preserve">erify and </w:t>
      </w:r>
      <w:r w:rsidR="00186E9D" w:rsidRPr="00CD4CEA">
        <w:rPr>
          <w:rFonts w:cstheme="minorHAnsi"/>
          <w:b/>
          <w:i/>
        </w:rPr>
        <w:t>C</w:t>
      </w:r>
      <w:r w:rsidRPr="00CD4CEA">
        <w:rPr>
          <w:rFonts w:cstheme="minorHAnsi"/>
          <w:b/>
          <w:i/>
        </w:rPr>
        <w:t xml:space="preserve">onfirm that </w:t>
      </w:r>
      <w:r w:rsidR="00186E9D" w:rsidRPr="00CD4CEA">
        <w:rPr>
          <w:rFonts w:cstheme="minorHAnsi"/>
          <w:b/>
          <w:i/>
        </w:rPr>
        <w:t>V</w:t>
      </w:r>
      <w:r w:rsidRPr="00CD4CEA">
        <w:rPr>
          <w:rFonts w:cstheme="minorHAnsi"/>
          <w:b/>
          <w:i/>
        </w:rPr>
        <w:t xml:space="preserve">iolations are </w:t>
      </w:r>
      <w:r w:rsidR="00186E9D" w:rsidRPr="00CD4CEA">
        <w:rPr>
          <w:rFonts w:cstheme="minorHAnsi"/>
          <w:b/>
          <w:i/>
        </w:rPr>
        <w:t>H</w:t>
      </w:r>
      <w:r w:rsidRPr="00CD4CEA">
        <w:rPr>
          <w:rFonts w:cstheme="minorHAnsi"/>
          <w:b/>
          <w:i/>
        </w:rPr>
        <w:t>appening.</w:t>
      </w:r>
      <w:r w:rsidRPr="00CD4CEA">
        <w:rPr>
          <w:rFonts w:cstheme="minorHAnsi"/>
        </w:rPr>
        <w:t xml:space="preserve"> </w:t>
      </w:r>
      <w:r w:rsidR="00641758" w:rsidRPr="00CD4CEA">
        <w:rPr>
          <w:rFonts w:cstheme="minorHAnsi"/>
        </w:rPr>
        <w:t xml:space="preserve">The increasing number of </w:t>
      </w:r>
      <w:r w:rsidR="001804CA">
        <w:rPr>
          <w:rFonts w:cstheme="minorHAnsi"/>
        </w:rPr>
        <w:t>methods and tools</w:t>
      </w:r>
      <w:r w:rsidR="00641758" w:rsidRPr="00CD4CEA">
        <w:rPr>
          <w:rFonts w:cstheme="minorHAnsi"/>
        </w:rPr>
        <w:t xml:space="preserve"> to document human rights violations </w:t>
      </w:r>
      <w:r w:rsidR="00641758" w:rsidRPr="001804CA">
        <w:rPr>
          <w:rFonts w:cstheme="minorHAnsi"/>
        </w:rPr>
        <w:t>means</w:t>
      </w:r>
      <w:r w:rsidR="00641758" w:rsidRPr="00CD4CEA">
        <w:rPr>
          <w:rFonts w:cstheme="minorHAnsi"/>
        </w:rPr>
        <w:t xml:space="preserve"> that</w:t>
      </w:r>
      <w:r w:rsidR="00C94A34" w:rsidRPr="00CD4CEA">
        <w:rPr>
          <w:rFonts w:cstheme="minorHAnsi"/>
        </w:rPr>
        <w:t xml:space="preserve"> human rights </w:t>
      </w:r>
      <w:r w:rsidR="002F3A30" w:rsidRPr="00CD4CEA">
        <w:rPr>
          <w:rFonts w:cstheme="minorHAnsi"/>
        </w:rPr>
        <w:t>documenters</w:t>
      </w:r>
      <w:r w:rsidR="00641758" w:rsidRPr="00CD4CEA">
        <w:rPr>
          <w:rFonts w:cstheme="minorHAnsi"/>
        </w:rPr>
        <w:t xml:space="preserve"> can pull multiple streams of data together to fortify</w:t>
      </w:r>
      <w:r w:rsidR="00C94A34" w:rsidRPr="00CD4CEA">
        <w:rPr>
          <w:rFonts w:cstheme="minorHAnsi"/>
        </w:rPr>
        <w:t xml:space="preserve"> </w:t>
      </w:r>
      <w:r w:rsidR="00641758" w:rsidRPr="00CD4CEA">
        <w:rPr>
          <w:rFonts w:cstheme="minorHAnsi"/>
        </w:rPr>
        <w:t xml:space="preserve">information against attack, denial, or alternate theories of what is happening. </w:t>
      </w:r>
      <w:r w:rsidR="00EA021E" w:rsidRPr="00CD4CEA">
        <w:rPr>
          <w:rFonts w:cstheme="minorHAnsi"/>
        </w:rPr>
        <w:t>Again</w:t>
      </w:r>
      <w:r w:rsidR="00186E9D" w:rsidRPr="00CD4CEA">
        <w:rPr>
          <w:rFonts w:cstheme="minorHAnsi"/>
        </w:rPr>
        <w:t>,</w:t>
      </w:r>
      <w:r w:rsidR="00EA021E" w:rsidRPr="00CD4CEA">
        <w:rPr>
          <w:rFonts w:cstheme="minorHAnsi"/>
        </w:rPr>
        <w:t xml:space="preserve"> thinking visually, the more blocks in </w:t>
      </w:r>
      <w:r w:rsidR="00C94A34" w:rsidRPr="00CD4CEA">
        <w:rPr>
          <w:rFonts w:cstheme="minorHAnsi"/>
        </w:rPr>
        <w:t>the</w:t>
      </w:r>
      <w:r w:rsidR="00EA021E" w:rsidRPr="00CD4CEA">
        <w:rPr>
          <w:rFonts w:cstheme="minorHAnsi"/>
        </w:rPr>
        <w:t xml:space="preserve"> stack</w:t>
      </w:r>
      <w:r w:rsidR="008F3D2E" w:rsidRPr="00CD4CEA">
        <w:rPr>
          <w:rFonts w:cstheme="minorHAnsi"/>
        </w:rPr>
        <w:t xml:space="preserve">, </w:t>
      </w:r>
      <w:r w:rsidR="00EA021E" w:rsidRPr="00CD4CEA">
        <w:rPr>
          <w:rFonts w:cstheme="minorHAnsi"/>
        </w:rPr>
        <w:t>the heavier the weight</w:t>
      </w:r>
      <w:r w:rsidR="008F3D2E" w:rsidRPr="00CD4CEA">
        <w:rPr>
          <w:rFonts w:cstheme="minorHAnsi"/>
        </w:rPr>
        <w:t xml:space="preserve"> of the stack</w:t>
      </w:r>
      <w:r w:rsidR="001A045F" w:rsidRPr="00CD4CEA">
        <w:rPr>
          <w:rFonts w:cstheme="minorHAnsi"/>
        </w:rPr>
        <w:t>.</w:t>
      </w:r>
      <w:r w:rsidR="00EA021E" w:rsidRPr="00CD4CEA">
        <w:rPr>
          <w:rFonts w:cstheme="minorHAnsi"/>
        </w:rPr>
        <w:t xml:space="preserve"> </w:t>
      </w:r>
      <w:r w:rsidR="001A045F" w:rsidRPr="00CD4CEA">
        <w:rPr>
          <w:rFonts w:cstheme="minorHAnsi"/>
        </w:rPr>
        <w:t>S</w:t>
      </w:r>
      <w:r w:rsidR="00186E9D" w:rsidRPr="00CD4CEA">
        <w:rPr>
          <w:rFonts w:cstheme="minorHAnsi"/>
        </w:rPr>
        <w:t>imilarly,</w:t>
      </w:r>
      <w:r w:rsidR="00EA021E" w:rsidRPr="00CD4CEA">
        <w:rPr>
          <w:rFonts w:cstheme="minorHAnsi"/>
        </w:rPr>
        <w:t xml:space="preserve"> the more tools and means</w:t>
      </w:r>
      <w:r w:rsidR="001A045F" w:rsidRPr="00CD4CEA">
        <w:rPr>
          <w:rFonts w:cstheme="minorHAnsi"/>
        </w:rPr>
        <w:t xml:space="preserve"> available</w:t>
      </w:r>
      <w:r w:rsidR="00EA021E" w:rsidRPr="00CD4CEA">
        <w:rPr>
          <w:rFonts w:cstheme="minorHAnsi"/>
        </w:rPr>
        <w:t xml:space="preserve"> </w:t>
      </w:r>
      <w:r w:rsidR="001A045F" w:rsidRPr="00CD4CEA">
        <w:rPr>
          <w:rFonts w:cstheme="minorHAnsi"/>
        </w:rPr>
        <w:t xml:space="preserve">to </w:t>
      </w:r>
      <w:r w:rsidR="00EA021E" w:rsidRPr="00CD4CEA">
        <w:rPr>
          <w:rFonts w:cstheme="minorHAnsi"/>
        </w:rPr>
        <w:t>verify our</w:t>
      </w:r>
      <w:r w:rsidR="008F3D2E" w:rsidRPr="00CD4CEA">
        <w:rPr>
          <w:rFonts w:cstheme="minorHAnsi"/>
        </w:rPr>
        <w:t xml:space="preserve"> information, the more weight </w:t>
      </w:r>
      <w:r w:rsidR="001A045F" w:rsidRPr="00CD4CEA">
        <w:rPr>
          <w:rFonts w:cstheme="minorHAnsi"/>
        </w:rPr>
        <w:t>the</w:t>
      </w:r>
      <w:r w:rsidR="008F3D2E" w:rsidRPr="00CD4CEA">
        <w:rPr>
          <w:rFonts w:cstheme="minorHAnsi"/>
        </w:rPr>
        <w:t xml:space="preserve"> information and </w:t>
      </w:r>
      <w:r w:rsidR="008F3D2E" w:rsidRPr="00CD4CEA">
        <w:rPr>
          <w:rFonts w:cstheme="minorHAnsi"/>
        </w:rPr>
        <w:lastRenderedPageBreak/>
        <w:t>analysis have</w:t>
      </w:r>
      <w:r w:rsidR="00EA021E" w:rsidRPr="00CD4CEA">
        <w:rPr>
          <w:rFonts w:cstheme="minorHAnsi"/>
        </w:rPr>
        <w:t xml:space="preserve">. </w:t>
      </w:r>
      <w:r w:rsidR="00741DAD" w:rsidRPr="00CD4CEA">
        <w:rPr>
          <w:rFonts w:cstheme="minorHAnsi"/>
        </w:rPr>
        <w:t>To investigate the cluster munitions attack on the Kramatorsk station in Ukraine, SITU Research and Human Rights Watch combined witness testimony, munition performance, satellite imagery,</w:t>
      </w:r>
      <w:r w:rsidR="00915BE4" w:rsidRPr="00CD4CEA">
        <w:rPr>
          <w:rFonts w:cstheme="minorHAnsi"/>
        </w:rPr>
        <w:t xml:space="preserve"> and video documentation.</w:t>
      </w:r>
      <w:r w:rsidR="007C1B1D" w:rsidRPr="00CD4CEA">
        <w:rPr>
          <w:rStyle w:val="FootnoteReference"/>
          <w:rFonts w:cstheme="minorHAnsi"/>
        </w:rPr>
        <w:footnoteReference w:id="15"/>
      </w:r>
      <w:r w:rsidR="00915BE4" w:rsidRPr="00CD4CEA">
        <w:rPr>
          <w:rFonts w:cstheme="minorHAnsi"/>
        </w:rPr>
        <w:t xml:space="preserve"> </w:t>
      </w:r>
      <w:r w:rsidR="00915BE4" w:rsidRPr="00CD4CEA">
        <w:rPr>
          <w:rFonts w:cstheme="minorHAnsi"/>
          <w:i/>
        </w:rPr>
        <w:t>The New York Times</w:t>
      </w:r>
      <w:r w:rsidR="00915BE4" w:rsidRPr="00CD4CEA">
        <w:rPr>
          <w:rFonts w:cstheme="minorHAnsi"/>
        </w:rPr>
        <w:t xml:space="preserve"> used </w:t>
      </w:r>
      <w:r w:rsidR="000F7D4D" w:rsidRPr="00CD4CEA">
        <w:rPr>
          <w:rFonts w:cstheme="minorHAnsi"/>
        </w:rPr>
        <w:t xml:space="preserve">media </w:t>
      </w:r>
      <w:r w:rsidR="00915BE4" w:rsidRPr="00CD4CEA">
        <w:rPr>
          <w:rFonts w:cstheme="minorHAnsi"/>
        </w:rPr>
        <w:t>reporting, satellite imagery, social media, mapping, and video documentation to explain the April 2023 outbreak of fighting in Sudan.</w:t>
      </w:r>
      <w:r w:rsidR="007C1B1D" w:rsidRPr="00CD4CEA">
        <w:rPr>
          <w:rStyle w:val="FootnoteReference"/>
          <w:rFonts w:cstheme="minorHAnsi"/>
          <w:color w:val="0000FF" w:themeColor="hyperlink"/>
          <w:u w:val="single"/>
        </w:rPr>
        <w:footnoteReference w:id="16"/>
      </w:r>
      <w:r w:rsidR="00915BE4" w:rsidRPr="00CD4CEA">
        <w:rPr>
          <w:rFonts w:cstheme="minorHAnsi"/>
        </w:rPr>
        <w:t xml:space="preserve"> </w:t>
      </w:r>
    </w:p>
    <w:p w14:paraId="2037DBD0" w14:textId="77777777" w:rsidR="00641758" w:rsidRPr="00CD4CEA" w:rsidRDefault="00641758" w:rsidP="00641758">
      <w:pPr>
        <w:pStyle w:val="ListParagraph"/>
        <w:rPr>
          <w:rFonts w:cstheme="minorHAnsi"/>
        </w:rPr>
      </w:pPr>
    </w:p>
    <w:p w14:paraId="19F890EC" w14:textId="3BFD3808" w:rsidR="00641758" w:rsidRPr="00CD4CEA" w:rsidRDefault="008F3D2E" w:rsidP="00641758">
      <w:pPr>
        <w:rPr>
          <w:rFonts w:cstheme="minorHAnsi"/>
        </w:rPr>
      </w:pPr>
      <w:r w:rsidRPr="00CD4CEA">
        <w:rPr>
          <w:rFonts w:cstheme="minorHAnsi"/>
        </w:rPr>
        <w:t>Redundancy increases the resilienc</w:t>
      </w:r>
      <w:r w:rsidR="00C6629E" w:rsidRPr="00CD4CEA">
        <w:rPr>
          <w:rFonts w:cstheme="minorHAnsi"/>
        </w:rPr>
        <w:t>e</w:t>
      </w:r>
      <w:r w:rsidRPr="00CD4CEA">
        <w:rPr>
          <w:rFonts w:cstheme="minorHAnsi"/>
        </w:rPr>
        <w:t xml:space="preserve"> of our data and informati</w:t>
      </w:r>
      <w:r w:rsidR="00880F47" w:rsidRPr="00CD4CEA">
        <w:rPr>
          <w:rFonts w:cstheme="minorHAnsi"/>
        </w:rPr>
        <w:t>on</w:t>
      </w:r>
      <w:r w:rsidR="00186E9D" w:rsidRPr="00CD4CEA">
        <w:rPr>
          <w:rFonts w:cstheme="minorHAnsi"/>
        </w:rPr>
        <w:t>,</w:t>
      </w:r>
      <w:r w:rsidR="00880F47" w:rsidRPr="00CD4CEA">
        <w:rPr>
          <w:rFonts w:cstheme="minorHAnsi"/>
        </w:rPr>
        <w:t xml:space="preserve"> </w:t>
      </w:r>
      <w:r w:rsidRPr="00CD4CEA">
        <w:rPr>
          <w:rFonts w:cstheme="minorHAnsi"/>
        </w:rPr>
        <w:t>strengthens our analysis</w:t>
      </w:r>
      <w:r w:rsidR="00186E9D" w:rsidRPr="00CD4CEA">
        <w:rPr>
          <w:rFonts w:cstheme="minorHAnsi"/>
        </w:rPr>
        <w:t>,</w:t>
      </w:r>
      <w:r w:rsidR="00880F47" w:rsidRPr="00CD4CEA">
        <w:rPr>
          <w:rFonts w:cstheme="minorHAnsi"/>
        </w:rPr>
        <w:t xml:space="preserve"> and makes it harder for detractors to deny the truth</w:t>
      </w:r>
      <w:r w:rsidRPr="00CD4CEA">
        <w:rPr>
          <w:rFonts w:cstheme="minorHAnsi"/>
        </w:rPr>
        <w:t xml:space="preserve">. </w:t>
      </w:r>
      <w:r w:rsidR="00717444" w:rsidRPr="00CD4CEA">
        <w:rPr>
          <w:rFonts w:cstheme="minorHAnsi"/>
        </w:rPr>
        <w:t xml:space="preserve">The more tools we can add to our documentation stack throughout our communities of practice, the greater the chance we have of creating impact </w:t>
      </w:r>
      <w:r w:rsidR="00717444" w:rsidRPr="001804CA">
        <w:rPr>
          <w:rFonts w:cstheme="minorHAnsi"/>
        </w:rPr>
        <w:t>–</w:t>
      </w:r>
      <w:r w:rsidR="00717444" w:rsidRPr="00CD4CEA">
        <w:rPr>
          <w:rFonts w:cstheme="minorHAnsi"/>
        </w:rPr>
        <w:t xml:space="preserve"> however we define it </w:t>
      </w:r>
      <w:r w:rsidR="00717444" w:rsidRPr="001804CA">
        <w:rPr>
          <w:rFonts w:cstheme="minorHAnsi"/>
        </w:rPr>
        <w:t>–</w:t>
      </w:r>
      <w:r w:rsidR="00717444" w:rsidRPr="00CD4CEA">
        <w:rPr>
          <w:rFonts w:cstheme="minorHAnsi"/>
        </w:rPr>
        <w:t xml:space="preserve"> with our documentation efforts. </w:t>
      </w:r>
      <w:r w:rsidR="00880F47" w:rsidRPr="00CD4CEA">
        <w:rPr>
          <w:rFonts w:cstheme="minorHAnsi"/>
        </w:rPr>
        <w:t xml:space="preserve">And while it can be enticing to </w:t>
      </w:r>
      <w:r w:rsidR="00915BE4" w:rsidRPr="00CD4CEA">
        <w:rPr>
          <w:rFonts w:cstheme="minorHAnsi"/>
        </w:rPr>
        <w:t>focus on</w:t>
      </w:r>
      <w:r w:rsidR="00880F47" w:rsidRPr="00CD4CEA">
        <w:rPr>
          <w:rFonts w:cstheme="minorHAnsi"/>
        </w:rPr>
        <w:t xml:space="preserve"> the </w:t>
      </w:r>
      <w:r w:rsidR="00C6629E" w:rsidRPr="00CD4CEA">
        <w:rPr>
          <w:rFonts w:cstheme="minorHAnsi"/>
        </w:rPr>
        <w:t>“</w:t>
      </w:r>
      <w:r w:rsidR="00880F47" w:rsidRPr="00CD4CEA">
        <w:rPr>
          <w:rFonts w:cstheme="minorHAnsi"/>
        </w:rPr>
        <w:t>shi</w:t>
      </w:r>
      <w:r w:rsidR="00D87FDC" w:rsidRPr="00CD4CEA">
        <w:rPr>
          <w:rFonts w:cstheme="minorHAnsi"/>
        </w:rPr>
        <w:t>ny</w:t>
      </w:r>
      <w:r w:rsidR="00C6629E" w:rsidRPr="00CD4CEA">
        <w:rPr>
          <w:rFonts w:cstheme="minorHAnsi"/>
        </w:rPr>
        <w:t>”</w:t>
      </w:r>
      <w:r w:rsidR="00D87FDC" w:rsidRPr="00CD4CEA">
        <w:rPr>
          <w:rFonts w:cstheme="minorHAnsi"/>
        </w:rPr>
        <w:t xml:space="preserve"> new tools that are surfacing, these are best complemented and used in c</w:t>
      </w:r>
      <w:r w:rsidR="00915BE4" w:rsidRPr="00CD4CEA">
        <w:rPr>
          <w:rFonts w:cstheme="minorHAnsi"/>
        </w:rPr>
        <w:t xml:space="preserve">oncert with the tools and skills that are already in our documentation stack. </w:t>
      </w:r>
      <w:r w:rsidR="00D87FDC" w:rsidRPr="00CD4CEA">
        <w:rPr>
          <w:rFonts w:cstheme="minorHAnsi"/>
        </w:rPr>
        <w:t xml:space="preserve"> </w:t>
      </w:r>
      <w:r w:rsidR="00880F47" w:rsidRPr="00CD4CEA">
        <w:rPr>
          <w:rFonts w:cstheme="minorHAnsi"/>
        </w:rPr>
        <w:t xml:space="preserve"> </w:t>
      </w:r>
    </w:p>
    <w:p w14:paraId="6FDC5B1A" w14:textId="77777777" w:rsidR="00B35456" w:rsidRPr="00CD4CEA" w:rsidRDefault="00B35456" w:rsidP="00B35456">
      <w:pPr>
        <w:rPr>
          <w:rFonts w:cstheme="minorHAnsi"/>
        </w:rPr>
      </w:pPr>
    </w:p>
    <w:p w14:paraId="739FE0D4" w14:textId="77777777" w:rsidR="001039D6" w:rsidRPr="00CD4CEA" w:rsidRDefault="001039D6">
      <w:pPr>
        <w:rPr>
          <w:rFonts w:cstheme="minorHAnsi"/>
          <w:b/>
        </w:rPr>
      </w:pPr>
    </w:p>
    <w:p w14:paraId="5781084B" w14:textId="33955A38" w:rsidR="005822BD" w:rsidRPr="00CD4CEA" w:rsidRDefault="007145A5">
      <w:pPr>
        <w:rPr>
          <w:rFonts w:cstheme="minorHAnsi"/>
          <w:b/>
        </w:rPr>
      </w:pPr>
      <w:r w:rsidRPr="00CD4CEA">
        <w:rPr>
          <w:rFonts w:cstheme="minorHAnsi"/>
          <w:b/>
        </w:rPr>
        <w:t xml:space="preserve">Moving </w:t>
      </w:r>
      <w:r w:rsidR="0057641D" w:rsidRPr="00CD4CEA">
        <w:rPr>
          <w:rFonts w:cstheme="minorHAnsi"/>
          <w:b/>
        </w:rPr>
        <w:t>B</w:t>
      </w:r>
      <w:r w:rsidRPr="00CD4CEA">
        <w:rPr>
          <w:rFonts w:cstheme="minorHAnsi"/>
          <w:b/>
        </w:rPr>
        <w:t xml:space="preserve">eyond Civil and Political Rights </w:t>
      </w:r>
    </w:p>
    <w:p w14:paraId="0C281904" w14:textId="295DEB06" w:rsidR="00717444" w:rsidRPr="00CD4CEA" w:rsidRDefault="00717444" w:rsidP="00717444">
      <w:pPr>
        <w:rPr>
          <w:rFonts w:cstheme="minorHAnsi"/>
        </w:rPr>
      </w:pPr>
      <w:r w:rsidRPr="00CD4CEA">
        <w:rPr>
          <w:rFonts w:cstheme="minorHAnsi"/>
        </w:rPr>
        <w:t>Political events are</w:t>
      </w:r>
      <w:r w:rsidR="00F47EC5" w:rsidRPr="00CD4CEA">
        <w:rPr>
          <w:rFonts w:cstheme="minorHAnsi"/>
        </w:rPr>
        <w:t xml:space="preserve"> intertwined with the economic, social, and cultural fabric of a societ</w:t>
      </w:r>
      <w:r w:rsidR="00686534" w:rsidRPr="00CD4CEA">
        <w:rPr>
          <w:rFonts w:cstheme="minorHAnsi"/>
        </w:rPr>
        <w:t>y. As the spectrum of</w:t>
      </w:r>
      <w:r w:rsidR="00DE06B7" w:rsidRPr="00CD4CEA">
        <w:rPr>
          <w:rFonts w:cstheme="minorHAnsi"/>
        </w:rPr>
        <w:t xml:space="preserve"> rights spans across all of these</w:t>
      </w:r>
      <w:r w:rsidR="00686534" w:rsidRPr="00CD4CEA">
        <w:rPr>
          <w:rFonts w:cstheme="minorHAnsi"/>
        </w:rPr>
        <w:t xml:space="preserve"> as</w:t>
      </w:r>
      <w:r w:rsidR="00DE06B7" w:rsidRPr="00CD4CEA">
        <w:rPr>
          <w:rFonts w:cstheme="minorHAnsi"/>
        </w:rPr>
        <w:t xml:space="preserve">pects of a society, so does </w:t>
      </w:r>
      <w:r w:rsidR="00B55270" w:rsidRPr="00CD4CEA">
        <w:rPr>
          <w:rFonts w:cstheme="minorHAnsi"/>
        </w:rPr>
        <w:t>the importance of</w:t>
      </w:r>
      <w:r w:rsidR="00DE06B7" w:rsidRPr="00CD4CEA">
        <w:rPr>
          <w:rFonts w:cstheme="minorHAnsi"/>
        </w:rPr>
        <w:t xml:space="preserve"> docum</w:t>
      </w:r>
      <w:r w:rsidR="00CC5A8B" w:rsidRPr="00CD4CEA">
        <w:rPr>
          <w:rFonts w:cstheme="minorHAnsi"/>
        </w:rPr>
        <w:t>ent</w:t>
      </w:r>
      <w:r w:rsidR="00B55270" w:rsidRPr="00CD4CEA">
        <w:rPr>
          <w:rFonts w:cstheme="minorHAnsi"/>
        </w:rPr>
        <w:t>ing</w:t>
      </w:r>
      <w:r w:rsidR="001E5E0E" w:rsidRPr="00CD4CEA">
        <w:rPr>
          <w:rFonts w:cstheme="minorHAnsi"/>
        </w:rPr>
        <w:t xml:space="preserve"> violations of these rights. </w:t>
      </w:r>
      <w:r w:rsidRPr="00CD4CEA">
        <w:rPr>
          <w:rFonts w:cstheme="minorHAnsi"/>
        </w:rPr>
        <w:t xml:space="preserve">Documentation is at its core just a methodology with a set of tools. The brilliance of focusing on the methodologies and tool development is that they have the ability to become multi-use. For example, communities and activists that learn how to document political hate speech can use those </w:t>
      </w:r>
      <w:r w:rsidR="00C6629E" w:rsidRPr="00CD4CEA">
        <w:rPr>
          <w:rFonts w:cstheme="minorHAnsi"/>
        </w:rPr>
        <w:t xml:space="preserve">methodologies </w:t>
      </w:r>
      <w:r w:rsidRPr="00CD4CEA">
        <w:rPr>
          <w:rFonts w:cstheme="minorHAnsi"/>
        </w:rPr>
        <w:t xml:space="preserve">to document the consequences of female genital mutilation in their communities. Satellite imagery that is used to understand when a town was firebombed can also be used to understand how agricultural patterns are affected by drought. </w:t>
      </w:r>
    </w:p>
    <w:p w14:paraId="795453EA" w14:textId="77777777" w:rsidR="00717444" w:rsidRPr="00CD4CEA" w:rsidRDefault="00717444">
      <w:pPr>
        <w:rPr>
          <w:rFonts w:cstheme="minorHAnsi"/>
        </w:rPr>
      </w:pPr>
    </w:p>
    <w:p w14:paraId="33243151" w14:textId="38F8F14E" w:rsidR="002A400A" w:rsidRPr="00CD4CEA" w:rsidRDefault="005C040F">
      <w:pPr>
        <w:rPr>
          <w:rFonts w:cstheme="minorHAnsi"/>
        </w:rPr>
      </w:pPr>
      <w:r w:rsidRPr="00CD4CEA">
        <w:rPr>
          <w:rFonts w:cstheme="minorHAnsi"/>
        </w:rPr>
        <w:t xml:space="preserve">The UN Office of the High Commissioner for Human Rights (UN OHCHR) writes in their </w:t>
      </w:r>
      <w:r w:rsidRPr="00CD4CEA">
        <w:rPr>
          <w:rFonts w:cstheme="minorHAnsi"/>
          <w:i/>
        </w:rPr>
        <w:t>Manual on Human Rights Monitoring</w:t>
      </w:r>
      <w:r w:rsidRPr="00CD4CEA">
        <w:rPr>
          <w:rFonts w:cstheme="minorHAnsi"/>
        </w:rPr>
        <w:t xml:space="preserve"> </w:t>
      </w:r>
      <w:r w:rsidR="00B55270" w:rsidRPr="00CD4CEA">
        <w:rPr>
          <w:rFonts w:cstheme="minorHAnsi"/>
        </w:rPr>
        <w:t xml:space="preserve">that </w:t>
      </w:r>
      <w:r w:rsidR="00A12233" w:rsidRPr="00CD4CEA">
        <w:rPr>
          <w:rFonts w:cstheme="minorHAnsi"/>
        </w:rPr>
        <w:t xml:space="preserve">community- or </w:t>
      </w:r>
      <w:r w:rsidR="00ED1618" w:rsidRPr="00CD4CEA">
        <w:rPr>
          <w:rFonts w:cstheme="minorHAnsi"/>
        </w:rPr>
        <w:t>event-specific documentation</w:t>
      </w:r>
      <w:r w:rsidR="00B55270" w:rsidRPr="00CD4CEA">
        <w:rPr>
          <w:rFonts w:cstheme="minorHAnsi"/>
        </w:rPr>
        <w:t xml:space="preserve"> </w:t>
      </w:r>
      <w:r w:rsidR="00AE10F8" w:rsidRPr="00CD4CEA">
        <w:rPr>
          <w:rFonts w:cstheme="minorHAnsi"/>
        </w:rPr>
        <w:t>on economic, cultural, and social rights</w:t>
      </w:r>
      <w:r w:rsidR="00ED1618" w:rsidRPr="00CD4CEA">
        <w:rPr>
          <w:rFonts w:cstheme="minorHAnsi"/>
        </w:rPr>
        <w:t xml:space="preserve"> can “highlight emblematic situations which may exemplify broader trends or shortcomings.”</w:t>
      </w:r>
      <w:r w:rsidR="00ED1618" w:rsidRPr="00CD4CEA">
        <w:rPr>
          <w:rStyle w:val="FootnoteReference"/>
          <w:rFonts w:cstheme="minorHAnsi"/>
        </w:rPr>
        <w:footnoteReference w:id="17"/>
      </w:r>
      <w:r w:rsidR="00ED1618" w:rsidRPr="00CD4CEA">
        <w:rPr>
          <w:rFonts w:cstheme="minorHAnsi"/>
        </w:rPr>
        <w:t xml:space="preserve"> They further highlight the importance of documentation as a critical component for </w:t>
      </w:r>
      <w:r w:rsidR="00B55270" w:rsidRPr="00CD4CEA">
        <w:rPr>
          <w:rFonts w:cstheme="minorHAnsi"/>
        </w:rPr>
        <w:t>in-country teams</w:t>
      </w:r>
      <w:r w:rsidR="00ED1618" w:rsidRPr="00CD4CEA">
        <w:rPr>
          <w:rFonts w:cstheme="minorHAnsi"/>
        </w:rPr>
        <w:t xml:space="preserve"> to be able to understand</w:t>
      </w:r>
      <w:r w:rsidR="00AE10F8" w:rsidRPr="00CD4CEA">
        <w:rPr>
          <w:rFonts w:cstheme="minorHAnsi"/>
        </w:rPr>
        <w:t xml:space="preserve"> “</w:t>
      </w:r>
      <w:r w:rsidR="00B55270" w:rsidRPr="00CD4CEA">
        <w:rPr>
          <w:rFonts w:cstheme="minorHAnsi"/>
        </w:rPr>
        <w:t xml:space="preserve">the nuances </w:t>
      </w:r>
      <w:r w:rsidR="00ED1618" w:rsidRPr="00CD4CEA">
        <w:rPr>
          <w:rFonts w:cstheme="minorHAnsi"/>
        </w:rPr>
        <w:t xml:space="preserve">[around] </w:t>
      </w:r>
      <w:r w:rsidR="00B55270" w:rsidRPr="00CD4CEA">
        <w:rPr>
          <w:rFonts w:cstheme="minorHAnsi"/>
        </w:rPr>
        <w:t>a specific event, such as the impact on an ethnic minority of closing down a school in a particular neighbourhood</w:t>
      </w:r>
      <w:r w:rsidR="009B1509" w:rsidRPr="00CD4CEA">
        <w:rPr>
          <w:rFonts w:cstheme="minorHAnsi"/>
        </w:rPr>
        <w:t>’, or the impact of discriminatory laws and policies on specific communities.</w:t>
      </w:r>
      <w:r w:rsidR="00B55270" w:rsidRPr="00CD4CEA">
        <w:rPr>
          <w:rFonts w:cstheme="minorHAnsi"/>
        </w:rPr>
        <w:t>”</w:t>
      </w:r>
      <w:r w:rsidR="00B55270" w:rsidRPr="00CD4CEA">
        <w:rPr>
          <w:rStyle w:val="FootnoteReference"/>
          <w:rFonts w:cstheme="minorHAnsi"/>
        </w:rPr>
        <w:footnoteReference w:id="18"/>
      </w:r>
      <w:r w:rsidR="00ED1618" w:rsidRPr="00CD4CEA">
        <w:rPr>
          <w:rFonts w:cstheme="minorHAnsi"/>
        </w:rPr>
        <w:t xml:space="preserve"> In short, th</w:t>
      </w:r>
      <w:r w:rsidR="00C6629E" w:rsidRPr="00CD4CEA">
        <w:rPr>
          <w:rFonts w:cstheme="minorHAnsi"/>
        </w:rPr>
        <w:t>e</w:t>
      </w:r>
      <w:r w:rsidR="00ED1618" w:rsidRPr="00CD4CEA">
        <w:rPr>
          <w:rFonts w:cstheme="minorHAnsi"/>
        </w:rPr>
        <w:t xml:space="preserve"> </w:t>
      </w:r>
      <w:r w:rsidR="00C6629E" w:rsidRPr="00CD4CEA">
        <w:rPr>
          <w:rFonts w:cstheme="minorHAnsi"/>
          <w:i/>
        </w:rPr>
        <w:t>M</w:t>
      </w:r>
      <w:r w:rsidR="00ED1618" w:rsidRPr="00CD4CEA">
        <w:rPr>
          <w:rFonts w:cstheme="minorHAnsi"/>
          <w:i/>
        </w:rPr>
        <w:t xml:space="preserve">anual </w:t>
      </w:r>
      <w:r w:rsidR="00ED1618" w:rsidRPr="00CD4CEA">
        <w:rPr>
          <w:rFonts w:cstheme="minorHAnsi"/>
        </w:rPr>
        <w:t xml:space="preserve">speaks to the ability of documentation </w:t>
      </w:r>
      <w:r w:rsidR="00057E65" w:rsidRPr="00CD4CEA">
        <w:rPr>
          <w:rFonts w:cstheme="minorHAnsi"/>
        </w:rPr>
        <w:t>to provide context and analysis for</w:t>
      </w:r>
      <w:r w:rsidR="00ED1618" w:rsidRPr="00CD4CEA">
        <w:rPr>
          <w:rFonts w:cstheme="minorHAnsi"/>
        </w:rPr>
        <w:t xml:space="preserve"> a wide variety for rights vio</w:t>
      </w:r>
      <w:r w:rsidR="00057E65" w:rsidRPr="00CD4CEA">
        <w:rPr>
          <w:rFonts w:cstheme="minorHAnsi"/>
        </w:rPr>
        <w:t>lations</w:t>
      </w:r>
      <w:r w:rsidR="00D1486B" w:rsidRPr="00CD4CEA">
        <w:rPr>
          <w:rFonts w:cstheme="minorHAnsi"/>
        </w:rPr>
        <w:t xml:space="preserve"> that reach far beyond traditional documentation of traditional conflicts</w:t>
      </w:r>
      <w:r w:rsidR="00057E65" w:rsidRPr="00CD4CEA">
        <w:rPr>
          <w:rFonts w:cstheme="minorHAnsi"/>
        </w:rPr>
        <w:t xml:space="preserve">. </w:t>
      </w:r>
    </w:p>
    <w:p w14:paraId="0E84CD44" w14:textId="77777777" w:rsidR="00717444" w:rsidRPr="00CD4CEA" w:rsidRDefault="00717444" w:rsidP="00094BBC">
      <w:pPr>
        <w:rPr>
          <w:rFonts w:cstheme="minorHAnsi"/>
        </w:rPr>
      </w:pPr>
    </w:p>
    <w:p w14:paraId="17C35F34" w14:textId="6D34DB7F" w:rsidR="00717444" w:rsidRPr="00CD4CEA" w:rsidRDefault="00717444" w:rsidP="00717444">
      <w:pPr>
        <w:rPr>
          <w:rFonts w:cstheme="minorHAnsi"/>
        </w:rPr>
      </w:pPr>
      <w:r w:rsidRPr="00CD4CEA">
        <w:rPr>
          <w:rFonts w:cstheme="minorHAnsi"/>
        </w:rPr>
        <w:t>Additionally, this holistic</w:t>
      </w:r>
      <w:r w:rsidR="00C6629E" w:rsidRPr="00CD4CEA">
        <w:rPr>
          <w:rFonts w:cstheme="minorHAnsi"/>
        </w:rPr>
        <w:t xml:space="preserve"> approach to</w:t>
      </w:r>
      <w:r w:rsidRPr="00CD4CEA">
        <w:rPr>
          <w:rFonts w:cstheme="minorHAnsi"/>
        </w:rPr>
        <w:t xml:space="preserve"> rights documentation allows us to shed light on root causes of rights violations, including corruption and economic inequality, and to understand risk factors that could spur future atrocities, conflict</w:t>
      </w:r>
      <w:r w:rsidR="00C6629E" w:rsidRPr="00CD4CEA">
        <w:rPr>
          <w:rFonts w:cstheme="minorHAnsi"/>
        </w:rPr>
        <w:t>s</w:t>
      </w:r>
      <w:r w:rsidRPr="00CD4CEA">
        <w:rPr>
          <w:rFonts w:cstheme="minorHAnsi"/>
        </w:rPr>
        <w:t xml:space="preserve">, or disasters.  </w:t>
      </w:r>
    </w:p>
    <w:p w14:paraId="3D281BE4" w14:textId="77777777" w:rsidR="00717444" w:rsidRPr="00CD4CEA" w:rsidRDefault="00717444" w:rsidP="00094BBC">
      <w:pPr>
        <w:rPr>
          <w:rFonts w:cstheme="minorHAnsi"/>
        </w:rPr>
      </w:pPr>
    </w:p>
    <w:p w14:paraId="46C2D70A" w14:textId="03B2D5E3" w:rsidR="00AE10F8" w:rsidRPr="00CD4CEA" w:rsidRDefault="00094BBC" w:rsidP="00094BBC">
      <w:pPr>
        <w:rPr>
          <w:rStyle w:val="x-el"/>
          <w:rFonts w:cstheme="minorHAnsi"/>
        </w:rPr>
      </w:pPr>
      <w:r w:rsidRPr="00CD4CEA">
        <w:rPr>
          <w:rFonts w:cstheme="minorHAnsi"/>
        </w:rPr>
        <w:t xml:space="preserve">Taking a holistic rights documentation approach is even more important as the climate crisis continues to bear down on us. The need to understand the broad </w:t>
      </w:r>
      <w:r w:rsidR="009B1509" w:rsidRPr="00CD4CEA">
        <w:rPr>
          <w:rFonts w:cstheme="minorHAnsi"/>
        </w:rPr>
        <w:t xml:space="preserve">scope of the impact </w:t>
      </w:r>
      <w:r w:rsidRPr="00CD4CEA">
        <w:rPr>
          <w:rFonts w:cstheme="minorHAnsi"/>
        </w:rPr>
        <w:t xml:space="preserve">of climate </w:t>
      </w:r>
      <w:r w:rsidRPr="00CD4CEA">
        <w:rPr>
          <w:rFonts w:cstheme="minorHAnsi"/>
        </w:rPr>
        <w:lastRenderedPageBreak/>
        <w:t xml:space="preserve">change on communities </w:t>
      </w:r>
      <w:r w:rsidRPr="001804CA">
        <w:rPr>
          <w:rFonts w:cstheme="minorHAnsi"/>
        </w:rPr>
        <w:t>–</w:t>
      </w:r>
      <w:r w:rsidRPr="00CD4CEA">
        <w:rPr>
          <w:rFonts w:cstheme="minorHAnsi"/>
        </w:rPr>
        <w:t xml:space="preserve"> and its interconnection with human rights violations </w:t>
      </w:r>
      <w:r w:rsidRPr="001804CA">
        <w:rPr>
          <w:rFonts w:cstheme="minorHAnsi"/>
        </w:rPr>
        <w:t>–</w:t>
      </w:r>
      <w:r w:rsidRPr="00CD4CEA">
        <w:rPr>
          <w:rFonts w:cstheme="minorHAnsi"/>
        </w:rPr>
        <w:t xml:space="preserve"> is in dire need of exploration. In a January 2023 interview, International Crisis Group </w:t>
      </w:r>
      <w:r w:rsidR="00216840" w:rsidRPr="00CD4CEA">
        <w:rPr>
          <w:rFonts w:cstheme="minorHAnsi"/>
        </w:rPr>
        <w:t xml:space="preserve">President and </w:t>
      </w:r>
      <w:r w:rsidRPr="00CD4CEA">
        <w:rPr>
          <w:rFonts w:cstheme="minorHAnsi"/>
        </w:rPr>
        <w:t xml:space="preserve">CEO Comfort </w:t>
      </w:r>
      <w:proofErr w:type="spellStart"/>
      <w:r w:rsidRPr="00CD4CEA">
        <w:rPr>
          <w:rFonts w:cstheme="minorHAnsi"/>
        </w:rPr>
        <w:t>Ero</w:t>
      </w:r>
      <w:proofErr w:type="spellEnd"/>
      <w:r w:rsidRPr="00CD4CEA">
        <w:rPr>
          <w:rFonts w:cstheme="minorHAnsi"/>
        </w:rPr>
        <w:t xml:space="preserve"> stated</w:t>
      </w:r>
      <w:r w:rsidR="00D35EDA">
        <w:rPr>
          <w:rFonts w:cstheme="minorHAnsi"/>
        </w:rPr>
        <w:t>,</w:t>
      </w:r>
      <w:r w:rsidRPr="00CD4CEA">
        <w:rPr>
          <w:rFonts w:cstheme="minorHAnsi"/>
        </w:rPr>
        <w:t xml:space="preserve"> “[o]f the countries most affected by climate change, something like half are also affected by conflict; and of climate IDPs – internally displaced people – something like 88 percent of them are in conflict-affected countries.”</w:t>
      </w:r>
      <w:r w:rsidRPr="00CD4CEA">
        <w:rPr>
          <w:rStyle w:val="FootnoteReference"/>
          <w:rFonts w:cstheme="minorHAnsi"/>
        </w:rPr>
        <w:footnoteReference w:id="19"/>
      </w:r>
      <w:r w:rsidRPr="00CD4CEA">
        <w:rPr>
          <w:rFonts w:cstheme="minorHAnsi"/>
        </w:rPr>
        <w:t xml:space="preserve"> </w:t>
      </w:r>
      <w:proofErr w:type="spellStart"/>
      <w:r w:rsidR="008033CB" w:rsidRPr="00CD4CEA">
        <w:rPr>
          <w:rStyle w:val="x-el"/>
          <w:rFonts w:cstheme="minorHAnsi"/>
        </w:rPr>
        <w:t>Liela</w:t>
      </w:r>
      <w:proofErr w:type="spellEnd"/>
      <w:r w:rsidR="008033CB" w:rsidRPr="00CD4CEA">
        <w:rPr>
          <w:rStyle w:val="x-el"/>
          <w:rFonts w:cstheme="minorHAnsi"/>
        </w:rPr>
        <w:t xml:space="preserve"> M. </w:t>
      </w:r>
      <w:proofErr w:type="spellStart"/>
      <w:r w:rsidR="008033CB" w:rsidRPr="00CD4CEA">
        <w:rPr>
          <w:rStyle w:val="x-el"/>
          <w:rFonts w:cstheme="minorHAnsi"/>
        </w:rPr>
        <w:t>Medani</w:t>
      </w:r>
      <w:proofErr w:type="spellEnd"/>
      <w:r w:rsidR="008033CB" w:rsidRPr="00CD4CEA">
        <w:rPr>
          <w:rStyle w:val="x-el"/>
          <w:rFonts w:cstheme="minorHAnsi"/>
        </w:rPr>
        <w:t xml:space="preserve"> works with Waging Peace, a charity that campaigns against mass atrocities and human rights abuses in Sudan and supports Sudanese individuals in the UK diaspora, including those who live as refugees or seek asylum, to build meaningful lives. After a </w:t>
      </w:r>
      <w:r w:rsidR="009B1509" w:rsidRPr="00CD4CEA">
        <w:rPr>
          <w:rStyle w:val="x-el"/>
          <w:rFonts w:cstheme="minorHAnsi"/>
        </w:rPr>
        <w:t>s</w:t>
      </w:r>
      <w:r w:rsidR="008033CB" w:rsidRPr="00CD4CEA">
        <w:rPr>
          <w:rStyle w:val="x-el"/>
          <w:rFonts w:cstheme="minorHAnsi"/>
        </w:rPr>
        <w:t xml:space="preserve">ummer 2022 trip to visit her family in Sudan, she memorialized in a series of WhatsApp messages how the military junta was </w:t>
      </w:r>
      <w:proofErr w:type="spellStart"/>
      <w:r w:rsidR="008033CB" w:rsidRPr="00CD4CEA">
        <w:rPr>
          <w:rStyle w:val="x-el"/>
          <w:rFonts w:cstheme="minorHAnsi"/>
        </w:rPr>
        <w:t>weaponizing</w:t>
      </w:r>
      <w:proofErr w:type="spellEnd"/>
      <w:r w:rsidR="008033CB" w:rsidRPr="00CD4CEA">
        <w:rPr>
          <w:rStyle w:val="x-el"/>
          <w:rFonts w:cstheme="minorHAnsi"/>
        </w:rPr>
        <w:t xml:space="preserve"> access to cooling and hydration during a climate change-driven heatwave</w:t>
      </w:r>
      <w:r w:rsidR="00EC0AF5" w:rsidRPr="00CD4CEA">
        <w:rPr>
          <w:rStyle w:val="x-el"/>
          <w:rFonts w:cstheme="minorHAnsi"/>
        </w:rPr>
        <w:t>:</w:t>
      </w:r>
    </w:p>
    <w:p w14:paraId="3BC072F9" w14:textId="77777777" w:rsidR="008033CB" w:rsidRPr="00CD4CEA" w:rsidRDefault="008033CB" w:rsidP="00094BBC">
      <w:pPr>
        <w:rPr>
          <w:rStyle w:val="x-el"/>
          <w:rFonts w:cstheme="minorHAnsi"/>
        </w:rPr>
      </w:pPr>
    </w:p>
    <w:p w14:paraId="61079A37" w14:textId="37DC5928" w:rsidR="00EC0AF5" w:rsidRPr="00CD4CEA" w:rsidRDefault="008033CB" w:rsidP="00EC0AF5">
      <w:pPr>
        <w:ind w:left="1134" w:right="1371"/>
        <w:rPr>
          <w:rStyle w:val="Emphasis"/>
          <w:rFonts w:cstheme="minorHAnsi"/>
          <w:i w:val="0"/>
        </w:rPr>
      </w:pPr>
      <w:r w:rsidRPr="00CD4CEA">
        <w:rPr>
          <w:rStyle w:val="Emphasis"/>
          <w:rFonts w:cstheme="minorHAnsi"/>
          <w:i w:val="0"/>
        </w:rPr>
        <w:t>Can you imagine when temperature exceeds 30°C with no fresh air or active cooling facilities? Can you feel the pain when the temperature rises to the highest? Bear in mind that the hours of the systematic power switch-off increase &amp; coincide with the demonstrations calling for the government &amp; regime change. </w:t>
      </w:r>
    </w:p>
    <w:p w14:paraId="7BB40F10" w14:textId="77777777" w:rsidR="00EC0AF5" w:rsidRPr="00CD4CEA" w:rsidRDefault="00EC0AF5" w:rsidP="00EC0AF5">
      <w:pPr>
        <w:ind w:left="1134" w:right="1371"/>
        <w:rPr>
          <w:rStyle w:val="Emphasis"/>
          <w:rFonts w:cstheme="minorHAnsi"/>
          <w:i w:val="0"/>
        </w:rPr>
      </w:pPr>
    </w:p>
    <w:p w14:paraId="45B2C5E8" w14:textId="77777777" w:rsidR="008033CB" w:rsidRPr="00CD4CEA" w:rsidRDefault="00EC0AF5" w:rsidP="00EC0AF5">
      <w:pPr>
        <w:ind w:left="1134" w:right="1371"/>
        <w:rPr>
          <w:rStyle w:val="Emphasis"/>
          <w:rFonts w:cstheme="minorHAnsi"/>
          <w:i w:val="0"/>
        </w:rPr>
      </w:pPr>
      <w:r w:rsidRPr="00CD4CEA">
        <w:rPr>
          <w:rStyle w:val="Emphasis"/>
          <w:rFonts w:cstheme="minorHAnsi"/>
          <w:i w:val="0"/>
        </w:rPr>
        <w:t>[…]</w:t>
      </w:r>
    </w:p>
    <w:p w14:paraId="765F411A" w14:textId="77777777" w:rsidR="00EC0AF5" w:rsidRPr="00CD4CEA" w:rsidRDefault="00EC0AF5" w:rsidP="00EC0AF5">
      <w:pPr>
        <w:ind w:left="1134" w:right="1371"/>
        <w:rPr>
          <w:rStyle w:val="Emphasis"/>
          <w:rFonts w:cstheme="minorHAnsi"/>
          <w:i w:val="0"/>
        </w:rPr>
      </w:pPr>
    </w:p>
    <w:p w14:paraId="3F516AE5" w14:textId="2BAD9145" w:rsidR="00EC0AF5" w:rsidRPr="00CD4CEA" w:rsidRDefault="00EC0AF5" w:rsidP="00EC0AF5">
      <w:pPr>
        <w:ind w:left="1134" w:right="1371"/>
        <w:rPr>
          <w:rFonts w:cstheme="minorHAnsi"/>
          <w:i/>
        </w:rPr>
      </w:pPr>
      <w:r w:rsidRPr="00CD4CEA">
        <w:rPr>
          <w:rStyle w:val="Emphasis"/>
          <w:rFonts w:cstheme="minorHAnsi"/>
          <w:i w:val="0"/>
        </w:rPr>
        <w:t>The final strike: they forced a directive to switch off electrical power during demonstrations against the regime, high temperatures plus no electricity during this time plus toxic fumes emitted from the poisonous tear gas, a lethal weapon leading to slow death.</w:t>
      </w:r>
      <w:r w:rsidRPr="00BE7905">
        <w:rPr>
          <w:rStyle w:val="FootnoteReference"/>
          <w:rFonts w:cstheme="minorHAnsi"/>
          <w:iCs/>
        </w:rPr>
        <w:footnoteReference w:id="20"/>
      </w:r>
    </w:p>
    <w:p w14:paraId="317EB520" w14:textId="77777777" w:rsidR="00AE10F8" w:rsidRPr="00CD4CEA" w:rsidRDefault="00AE10F8" w:rsidP="00094BBC">
      <w:pPr>
        <w:rPr>
          <w:rFonts w:cstheme="minorHAnsi"/>
        </w:rPr>
      </w:pPr>
    </w:p>
    <w:p w14:paraId="64F74F9C" w14:textId="7EC41A23" w:rsidR="00FC6074" w:rsidRPr="00CD4CEA" w:rsidRDefault="00AE10F8" w:rsidP="00094BBC">
      <w:pPr>
        <w:rPr>
          <w:rFonts w:cstheme="minorHAnsi"/>
        </w:rPr>
      </w:pPr>
      <w:r w:rsidRPr="00CD4CEA">
        <w:rPr>
          <w:rFonts w:cstheme="minorHAnsi"/>
        </w:rPr>
        <w:t>Additionally, there is an increasing and urgent need to explore the human rights effects of climate mitigation strategies, so as to ensure that we are</w:t>
      </w:r>
      <w:r w:rsidR="00216840" w:rsidRPr="00CD4CEA">
        <w:rPr>
          <w:rFonts w:cstheme="minorHAnsi"/>
        </w:rPr>
        <w:t xml:space="preserve"> not</w:t>
      </w:r>
      <w:r w:rsidRPr="00CD4CEA">
        <w:rPr>
          <w:rFonts w:cstheme="minorHAnsi"/>
        </w:rPr>
        <w:t xml:space="preserve"> replicating unequal and rights-abusing practices that underpin so many of our current industries and economies. </w:t>
      </w:r>
      <w:r w:rsidR="00FC6074" w:rsidRPr="00CD4CEA">
        <w:rPr>
          <w:rFonts w:cstheme="minorHAnsi"/>
        </w:rPr>
        <w:t xml:space="preserve">As Adrian Di Giovanni and Georgina </w:t>
      </w:r>
      <w:proofErr w:type="spellStart"/>
      <w:r w:rsidR="00FC6074" w:rsidRPr="00CD4CEA">
        <w:rPr>
          <w:rFonts w:cstheme="minorHAnsi"/>
        </w:rPr>
        <w:t>Cundill</w:t>
      </w:r>
      <w:proofErr w:type="spellEnd"/>
      <w:r w:rsidR="00FC6074" w:rsidRPr="00CD4CEA">
        <w:rPr>
          <w:rFonts w:cstheme="minorHAnsi"/>
        </w:rPr>
        <w:t xml:space="preserve">-Kemp from the International Development Research </w:t>
      </w:r>
      <w:proofErr w:type="spellStart"/>
      <w:r w:rsidR="00FC6074" w:rsidRPr="00CD4CEA">
        <w:rPr>
          <w:rFonts w:cstheme="minorHAnsi"/>
        </w:rPr>
        <w:t>Center</w:t>
      </w:r>
      <w:proofErr w:type="spellEnd"/>
      <w:r w:rsidR="00FC6074" w:rsidRPr="00CD4CEA">
        <w:rPr>
          <w:rFonts w:cstheme="minorHAnsi"/>
        </w:rPr>
        <w:t xml:space="preserve"> note in a June 2022 blog post</w:t>
      </w:r>
      <w:r w:rsidR="00D35EDA">
        <w:rPr>
          <w:rFonts w:cstheme="minorHAnsi"/>
        </w:rPr>
        <w:t>:</w:t>
      </w:r>
      <w:r w:rsidR="00FC6074" w:rsidRPr="00CD4CEA">
        <w:rPr>
          <w:rFonts w:cstheme="minorHAnsi"/>
        </w:rPr>
        <w:t xml:space="preserve"> </w:t>
      </w:r>
    </w:p>
    <w:p w14:paraId="7EB5FC58" w14:textId="77777777" w:rsidR="00FC6074" w:rsidRPr="00CD4CEA" w:rsidRDefault="00FC6074" w:rsidP="00094BBC">
      <w:pPr>
        <w:rPr>
          <w:rFonts w:cstheme="minorHAnsi"/>
        </w:rPr>
      </w:pPr>
    </w:p>
    <w:p w14:paraId="269EB2A8" w14:textId="12E6038E" w:rsidR="00094BBC" w:rsidRPr="00CD4CEA" w:rsidRDefault="00FC6074" w:rsidP="00FC6074">
      <w:pPr>
        <w:ind w:left="720" w:right="804"/>
        <w:rPr>
          <w:rFonts w:cstheme="minorHAnsi"/>
        </w:rPr>
      </w:pPr>
      <w:r w:rsidRPr="00CD4CEA">
        <w:rPr>
          <w:rFonts w:cstheme="minorHAnsi"/>
        </w:rPr>
        <w:t>[t]he calls for climate justice rarely point to the anticipated push for ambitious climate actions in the coming years and their potential negative impacts on vulnerable and marginalized populations, especially in the Global South. In the decade ahead, societies around the world will initiate and feel the impacts of multiple societal responses to climate change. These responses will take place locally, nationally, and on a global scale; they will occur simultaneously and likely interact with one another in unpredictable ways. Together, these responses – or the failure to respond – will bring with them societal transitions that could exacerbate existing inequalities and injustices or create new ones.</w:t>
      </w:r>
      <w:r w:rsidRPr="00CD4CEA">
        <w:rPr>
          <w:rStyle w:val="FootnoteReference"/>
          <w:rFonts w:cstheme="minorHAnsi"/>
        </w:rPr>
        <w:footnoteReference w:id="21"/>
      </w:r>
    </w:p>
    <w:p w14:paraId="3138A615" w14:textId="77777777" w:rsidR="00094BBC" w:rsidRPr="00CD4CEA" w:rsidRDefault="00094BBC" w:rsidP="00094BBC">
      <w:pPr>
        <w:rPr>
          <w:rFonts w:cstheme="minorHAnsi"/>
        </w:rPr>
      </w:pPr>
    </w:p>
    <w:p w14:paraId="741AE340" w14:textId="4B847D2E" w:rsidR="00F17564" w:rsidRPr="00F17564" w:rsidRDefault="00AD5E4A" w:rsidP="00F17564">
      <w:pPr>
        <w:rPr>
          <w:rFonts w:cstheme="minorHAnsi"/>
        </w:rPr>
      </w:pPr>
      <w:r w:rsidRPr="00CD4CEA">
        <w:rPr>
          <w:rFonts w:cstheme="minorHAnsi"/>
        </w:rPr>
        <w:t>The</w:t>
      </w:r>
      <w:r w:rsidR="00BE7905">
        <w:rPr>
          <w:rFonts w:cstheme="minorHAnsi"/>
        </w:rPr>
        <w:t xml:space="preserve"> current</w:t>
      </w:r>
      <w:r w:rsidRPr="00CD4CEA">
        <w:rPr>
          <w:rFonts w:cstheme="minorHAnsi"/>
        </w:rPr>
        <w:t xml:space="preserve"> </w:t>
      </w:r>
      <w:proofErr w:type="spellStart"/>
      <w:r w:rsidRPr="00CD4CEA">
        <w:rPr>
          <w:rFonts w:cstheme="minorHAnsi"/>
        </w:rPr>
        <w:t>polycrisis</w:t>
      </w:r>
      <w:proofErr w:type="spellEnd"/>
      <w:r w:rsidR="00BE7905">
        <w:rPr>
          <w:rFonts w:cstheme="minorHAnsi"/>
        </w:rPr>
        <w:t xml:space="preserve"> of </w:t>
      </w:r>
      <w:r w:rsidR="00BE7905" w:rsidRPr="00CD4CEA">
        <w:rPr>
          <w:rFonts w:cstheme="minorHAnsi"/>
        </w:rPr>
        <w:t>r</w:t>
      </w:r>
      <w:r w:rsidR="00BE7905">
        <w:rPr>
          <w:rFonts w:cstheme="minorHAnsi"/>
        </w:rPr>
        <w:t>ising authoritarianism, catastrophic climate change</w:t>
      </w:r>
      <w:r w:rsidR="00BE7905" w:rsidRPr="00CD4CEA">
        <w:rPr>
          <w:rFonts w:cstheme="minorHAnsi"/>
        </w:rPr>
        <w:t>, and growing inequality</w:t>
      </w:r>
      <w:r w:rsidR="00197828" w:rsidRPr="00CD4CEA">
        <w:rPr>
          <w:rFonts w:cstheme="minorHAnsi"/>
        </w:rPr>
        <w:t xml:space="preserve"> dictates that we think creatively and collectively </w:t>
      </w:r>
      <w:r w:rsidR="00AB248C" w:rsidRPr="00CD4CEA">
        <w:rPr>
          <w:rFonts w:cstheme="minorHAnsi"/>
        </w:rPr>
        <w:t xml:space="preserve">about documenting </w:t>
      </w:r>
      <w:r w:rsidR="00C8209A" w:rsidRPr="00CD4CEA">
        <w:rPr>
          <w:rFonts w:cstheme="minorHAnsi"/>
        </w:rPr>
        <w:t xml:space="preserve">abuses that arise from the </w:t>
      </w:r>
      <w:r w:rsidR="00C8209A" w:rsidRPr="00CD4CEA">
        <w:rPr>
          <w:rFonts w:cstheme="minorHAnsi"/>
        </w:rPr>
        <w:lastRenderedPageBreak/>
        <w:t>in</w:t>
      </w:r>
      <w:r w:rsidR="00A67A94" w:rsidRPr="00CD4CEA">
        <w:rPr>
          <w:rFonts w:cstheme="minorHAnsi"/>
        </w:rPr>
        <w:t>tersection of these crises. In a</w:t>
      </w:r>
      <w:r w:rsidR="00DF4446" w:rsidRPr="00CD4CEA">
        <w:rPr>
          <w:rFonts w:cstheme="minorHAnsi"/>
        </w:rPr>
        <w:t xml:space="preserve"> </w:t>
      </w:r>
      <w:r w:rsidR="00BE7905">
        <w:rPr>
          <w:rFonts w:cstheme="minorHAnsi"/>
        </w:rPr>
        <w:t>2022</w:t>
      </w:r>
      <w:r w:rsidR="00A67A94" w:rsidRPr="00CD4CEA">
        <w:rPr>
          <w:rFonts w:cstheme="minorHAnsi"/>
        </w:rPr>
        <w:t xml:space="preserve"> South Sudan</w:t>
      </w:r>
      <w:r w:rsidR="006100C7" w:rsidRPr="00CD4CEA">
        <w:rPr>
          <w:rFonts w:cstheme="minorHAnsi"/>
        </w:rPr>
        <w:t xml:space="preserve"> briefing</w:t>
      </w:r>
      <w:r w:rsidR="00A67A94" w:rsidRPr="00CD4CEA">
        <w:rPr>
          <w:rFonts w:cstheme="minorHAnsi"/>
        </w:rPr>
        <w:t xml:space="preserve">, the International Crisis Group </w:t>
      </w:r>
      <w:r w:rsidR="006100C7" w:rsidRPr="00CD4CEA">
        <w:rPr>
          <w:rFonts w:cstheme="minorHAnsi"/>
        </w:rPr>
        <w:t xml:space="preserve">addressed </w:t>
      </w:r>
      <w:r w:rsidR="00A67A94" w:rsidRPr="00CD4CEA">
        <w:rPr>
          <w:rFonts w:cstheme="minorHAnsi"/>
        </w:rPr>
        <w:t xml:space="preserve">resource competition and </w:t>
      </w:r>
      <w:r w:rsidR="006100C7" w:rsidRPr="00CD4CEA">
        <w:rPr>
          <w:rFonts w:cstheme="minorHAnsi"/>
        </w:rPr>
        <w:t xml:space="preserve">displacement as both conflict </w:t>
      </w:r>
      <w:r w:rsidR="006100C7" w:rsidRPr="00CD4CEA">
        <w:rPr>
          <w:rFonts w:cstheme="minorHAnsi"/>
          <w:i/>
        </w:rPr>
        <w:t xml:space="preserve">and </w:t>
      </w:r>
      <w:r w:rsidR="006100C7" w:rsidRPr="00CD4CEA">
        <w:rPr>
          <w:rFonts w:cstheme="minorHAnsi"/>
        </w:rPr>
        <w:t xml:space="preserve">climate concerns. </w:t>
      </w:r>
      <w:r w:rsidR="00DF4446" w:rsidRPr="00CD4CEA">
        <w:rPr>
          <w:rFonts w:cstheme="minorHAnsi"/>
        </w:rPr>
        <w:t>The</w:t>
      </w:r>
      <w:r w:rsidR="00BE7905">
        <w:rPr>
          <w:rFonts w:cstheme="minorHAnsi"/>
        </w:rPr>
        <w:t xml:space="preserve"> multimedia briefing</w:t>
      </w:r>
      <w:r w:rsidR="00DF4446" w:rsidRPr="00CD4CEA">
        <w:rPr>
          <w:rFonts w:cstheme="minorHAnsi"/>
        </w:rPr>
        <w:t xml:space="preserve"> demonstrated </w:t>
      </w:r>
      <w:r w:rsidR="00331B6F" w:rsidRPr="00CD4CEA">
        <w:rPr>
          <w:rFonts w:cstheme="minorHAnsi"/>
        </w:rPr>
        <w:t>how unprecedented flooding displaced an ethnic community</w:t>
      </w:r>
      <w:r w:rsidR="00BE7905">
        <w:rPr>
          <w:rFonts w:cstheme="minorHAnsi"/>
        </w:rPr>
        <w:t>,</w:t>
      </w:r>
      <w:r w:rsidR="00331B6F" w:rsidRPr="00CD4CEA">
        <w:rPr>
          <w:rFonts w:cstheme="minorHAnsi"/>
        </w:rPr>
        <w:t xml:space="preserve"> pushing them into an area where they clashed with farmers over resources</w:t>
      </w:r>
      <w:r w:rsidR="00BE7905">
        <w:rPr>
          <w:rFonts w:cstheme="minorHAnsi"/>
        </w:rPr>
        <w:t xml:space="preserve"> and</w:t>
      </w:r>
      <w:r w:rsidR="00331B6F" w:rsidRPr="00CD4CEA">
        <w:rPr>
          <w:rFonts w:cstheme="minorHAnsi"/>
        </w:rPr>
        <w:t xml:space="preserve"> further</w:t>
      </w:r>
      <w:r w:rsidR="00A66173" w:rsidRPr="00CD4CEA">
        <w:rPr>
          <w:rFonts w:cstheme="minorHAnsi"/>
        </w:rPr>
        <w:t>ing</w:t>
      </w:r>
      <w:r w:rsidR="00331B6F" w:rsidRPr="00CD4CEA">
        <w:rPr>
          <w:rFonts w:cstheme="minorHAnsi"/>
        </w:rPr>
        <w:t xml:space="preserve"> the chances of inflaming</w:t>
      </w:r>
      <w:r w:rsidR="008F4F18">
        <w:rPr>
          <w:rFonts w:cstheme="minorHAnsi"/>
        </w:rPr>
        <w:t xml:space="preserve"> </w:t>
      </w:r>
      <w:r w:rsidR="00331B6F" w:rsidRPr="00CD4CEA">
        <w:rPr>
          <w:rFonts w:cstheme="minorHAnsi"/>
        </w:rPr>
        <w:t>civil war.</w:t>
      </w:r>
      <w:r w:rsidR="00BE7905">
        <w:rPr>
          <w:rStyle w:val="FootnoteReference"/>
          <w:rFonts w:cstheme="minorHAnsi"/>
        </w:rPr>
        <w:footnoteReference w:id="22"/>
      </w:r>
      <w:r w:rsidR="00331B6F" w:rsidRPr="00CD4CEA">
        <w:rPr>
          <w:rFonts w:cstheme="minorHAnsi"/>
        </w:rPr>
        <w:t xml:space="preserve"> </w:t>
      </w:r>
      <w:r w:rsidR="00F17564">
        <w:rPr>
          <w:rFonts w:cstheme="minorHAnsi"/>
        </w:rPr>
        <w:t xml:space="preserve">As these crises continue to overlap and compound, documenting the linkages and intersections between rights – whether civil, political, economic, or social – and stressors, should be an increasing focus of human rights documentation efforts.  </w:t>
      </w:r>
    </w:p>
    <w:p w14:paraId="65483F4E" w14:textId="7E8F6D39" w:rsidR="00EB36F9" w:rsidRPr="00CD4CEA" w:rsidRDefault="00EB36F9">
      <w:pPr>
        <w:rPr>
          <w:rFonts w:cstheme="minorHAnsi"/>
        </w:rPr>
      </w:pPr>
    </w:p>
    <w:p w14:paraId="2DC7D501" w14:textId="77777777" w:rsidR="00DF4446" w:rsidRPr="00CD4CEA" w:rsidRDefault="00DF4446">
      <w:pPr>
        <w:rPr>
          <w:rFonts w:cstheme="minorHAnsi"/>
        </w:rPr>
      </w:pPr>
    </w:p>
    <w:p w14:paraId="664347A6" w14:textId="77777777" w:rsidR="00DF4446" w:rsidRPr="00CD4CEA" w:rsidRDefault="00DF4446">
      <w:pPr>
        <w:rPr>
          <w:rFonts w:cstheme="minorHAnsi"/>
        </w:rPr>
      </w:pPr>
    </w:p>
    <w:p w14:paraId="3E20A5AA" w14:textId="77777777" w:rsidR="002774B1" w:rsidRPr="00CD4CEA" w:rsidRDefault="002774B1">
      <w:pPr>
        <w:rPr>
          <w:rFonts w:cstheme="minorHAnsi"/>
          <w:i/>
        </w:rPr>
      </w:pPr>
    </w:p>
    <w:p w14:paraId="058035FD" w14:textId="77777777" w:rsidR="006035E8" w:rsidRPr="00CD4CEA" w:rsidRDefault="006035E8">
      <w:pPr>
        <w:rPr>
          <w:rFonts w:cstheme="minorHAnsi"/>
          <w:b/>
        </w:rPr>
      </w:pPr>
      <w:r w:rsidRPr="00CD4CEA">
        <w:rPr>
          <w:rFonts w:cstheme="minorHAnsi"/>
          <w:b/>
        </w:rPr>
        <w:br w:type="page"/>
      </w:r>
    </w:p>
    <w:p w14:paraId="22A3EC79" w14:textId="77777777" w:rsidR="0026432D" w:rsidRPr="00CD4CEA" w:rsidRDefault="00D206EC">
      <w:pPr>
        <w:rPr>
          <w:rFonts w:cstheme="minorHAnsi"/>
          <w:b/>
          <w:smallCaps/>
        </w:rPr>
      </w:pPr>
      <w:r w:rsidRPr="00CD4CEA">
        <w:rPr>
          <w:rFonts w:cstheme="minorHAnsi"/>
          <w:b/>
          <w:smallCaps/>
        </w:rPr>
        <w:lastRenderedPageBreak/>
        <w:t>II</w:t>
      </w:r>
      <w:r w:rsidR="00D9317A" w:rsidRPr="00CD4CEA">
        <w:rPr>
          <w:rFonts w:cstheme="minorHAnsi"/>
          <w:b/>
          <w:smallCaps/>
        </w:rPr>
        <w:t>I</w:t>
      </w:r>
      <w:r w:rsidRPr="00CD4CEA">
        <w:rPr>
          <w:rFonts w:cstheme="minorHAnsi"/>
          <w:b/>
          <w:smallCaps/>
        </w:rPr>
        <w:t xml:space="preserve">. </w:t>
      </w:r>
      <w:r w:rsidR="0026432D" w:rsidRPr="00CD4CEA">
        <w:rPr>
          <w:rFonts w:cstheme="minorHAnsi"/>
          <w:b/>
          <w:smallCaps/>
        </w:rPr>
        <w:t>Utility or Usefulness of Human Rights Documentation</w:t>
      </w:r>
    </w:p>
    <w:p w14:paraId="05B3B554" w14:textId="41EC3E91" w:rsidR="00DE05BB" w:rsidRPr="00CD4CEA" w:rsidRDefault="0026432D">
      <w:pPr>
        <w:rPr>
          <w:rFonts w:cstheme="minorHAnsi"/>
        </w:rPr>
      </w:pPr>
      <w:r w:rsidRPr="00CD4CEA">
        <w:rPr>
          <w:rFonts w:cstheme="minorHAnsi"/>
        </w:rPr>
        <w:t>Often when we think about the use of human rights documentation, we think about its use i</w:t>
      </w:r>
      <w:r w:rsidR="00AF302D" w:rsidRPr="00CD4CEA">
        <w:rPr>
          <w:rFonts w:cstheme="minorHAnsi"/>
        </w:rPr>
        <w:t>n large courtrooms or tribunals</w:t>
      </w:r>
      <w:r w:rsidR="00C6629E" w:rsidRPr="00CD4CEA">
        <w:rPr>
          <w:rFonts w:cstheme="minorHAnsi"/>
        </w:rPr>
        <w:t>:</w:t>
      </w:r>
      <w:r w:rsidR="00AF302D" w:rsidRPr="00CD4CEA">
        <w:rPr>
          <w:rFonts w:cstheme="minorHAnsi"/>
        </w:rPr>
        <w:t xml:space="preserve"> the prosecution of perpetrators</w:t>
      </w:r>
      <w:r w:rsidR="008E69B6" w:rsidRPr="00CD4CEA">
        <w:rPr>
          <w:rFonts w:cstheme="minorHAnsi"/>
        </w:rPr>
        <w:t xml:space="preserve"> and the pursuit of justice</w:t>
      </w:r>
      <w:r w:rsidR="00AF302D" w:rsidRPr="00CD4CEA">
        <w:rPr>
          <w:rFonts w:cstheme="minorHAnsi"/>
        </w:rPr>
        <w:t>. While this may be the most high-profile us</w:t>
      </w:r>
      <w:r w:rsidR="00822E76" w:rsidRPr="00CD4CEA">
        <w:rPr>
          <w:rFonts w:cstheme="minorHAnsi"/>
        </w:rPr>
        <w:t>e, it is far from the only one. Documentation of human rights violations can al</w:t>
      </w:r>
      <w:r w:rsidR="0014261A">
        <w:rPr>
          <w:rFonts w:cstheme="minorHAnsi"/>
        </w:rPr>
        <w:t xml:space="preserve">so help increase personal resilience, release trauma, fortify memory, create mutual understanding of past events, and educate children. Some uses for documentation may only matter to a single person or to a specific community or population, or they may resonate globally. </w:t>
      </w:r>
    </w:p>
    <w:p w14:paraId="5A40030C" w14:textId="77777777" w:rsidR="00DE05BB" w:rsidRPr="00CD4CEA" w:rsidRDefault="00DE05BB">
      <w:pPr>
        <w:rPr>
          <w:rFonts w:cstheme="minorHAnsi"/>
        </w:rPr>
      </w:pPr>
    </w:p>
    <w:p w14:paraId="64C1D1A7" w14:textId="6C6A6D55" w:rsidR="0000181D" w:rsidRPr="00CD4CEA" w:rsidRDefault="008C0A1E">
      <w:pPr>
        <w:rPr>
          <w:rFonts w:cstheme="minorHAnsi"/>
        </w:rPr>
      </w:pPr>
      <w:r w:rsidRPr="00CD4CEA">
        <w:rPr>
          <w:rFonts w:cstheme="minorHAnsi"/>
        </w:rPr>
        <w:t>W</w:t>
      </w:r>
      <w:r w:rsidR="00AF302D" w:rsidRPr="00CD4CEA">
        <w:rPr>
          <w:rFonts w:cstheme="minorHAnsi"/>
        </w:rPr>
        <w:t>e often jud</w:t>
      </w:r>
      <w:r w:rsidR="00822E76" w:rsidRPr="00CD4CEA">
        <w:rPr>
          <w:rFonts w:cstheme="minorHAnsi"/>
        </w:rPr>
        <w:t>ge things by how efforts “</w:t>
      </w:r>
      <w:r w:rsidRPr="00CD4CEA">
        <w:rPr>
          <w:rFonts w:cstheme="minorHAnsi"/>
        </w:rPr>
        <w:t xml:space="preserve">scale” and reach more people and </w:t>
      </w:r>
      <w:r w:rsidR="00C6629E" w:rsidRPr="00CD4CEA">
        <w:rPr>
          <w:rFonts w:cstheme="minorHAnsi"/>
        </w:rPr>
        <w:t xml:space="preserve">more </w:t>
      </w:r>
      <w:r w:rsidRPr="00CD4CEA">
        <w:rPr>
          <w:rFonts w:cstheme="minorHAnsi"/>
        </w:rPr>
        <w:t xml:space="preserve">communities. </w:t>
      </w:r>
      <w:r w:rsidR="008108C9" w:rsidRPr="00CD4CEA">
        <w:rPr>
          <w:rFonts w:cstheme="minorHAnsi"/>
        </w:rPr>
        <w:t>The basics and the abilities around human rights documentation are indeed scalable</w:t>
      </w:r>
      <w:r w:rsidR="003929EE">
        <w:rPr>
          <w:rFonts w:cstheme="minorHAnsi"/>
        </w:rPr>
        <w:t>;</w:t>
      </w:r>
      <w:r w:rsidR="008108C9" w:rsidRPr="00CD4CEA">
        <w:rPr>
          <w:rFonts w:cstheme="minorHAnsi"/>
        </w:rPr>
        <w:t xml:space="preserve"> however</w:t>
      </w:r>
      <w:r w:rsidR="003929EE">
        <w:rPr>
          <w:rFonts w:cstheme="minorHAnsi"/>
        </w:rPr>
        <w:t>,</w:t>
      </w:r>
      <w:r w:rsidR="008108C9" w:rsidRPr="00CD4CEA">
        <w:rPr>
          <w:rFonts w:cstheme="minorHAnsi"/>
        </w:rPr>
        <w:t xml:space="preserve"> </w:t>
      </w:r>
      <w:r w:rsidR="003929EE" w:rsidRPr="00CD4CEA">
        <w:rPr>
          <w:rFonts w:cstheme="minorHAnsi"/>
        </w:rPr>
        <w:t xml:space="preserve">scale may not be the best metric </w:t>
      </w:r>
      <w:r w:rsidR="001B11A9" w:rsidRPr="00CD4CEA">
        <w:rPr>
          <w:rFonts w:cstheme="minorHAnsi"/>
        </w:rPr>
        <w:t xml:space="preserve">when we assess </w:t>
      </w:r>
      <w:r w:rsidR="008108C9" w:rsidRPr="00CD4CEA">
        <w:rPr>
          <w:rFonts w:cstheme="minorHAnsi"/>
        </w:rPr>
        <w:t xml:space="preserve">of the </w:t>
      </w:r>
      <w:r w:rsidR="0001733A" w:rsidRPr="0001733A">
        <w:rPr>
          <w:rFonts w:cstheme="minorHAnsi"/>
        </w:rPr>
        <w:t>utility</w:t>
      </w:r>
      <w:r w:rsidR="008108C9" w:rsidRPr="00CD4CEA">
        <w:rPr>
          <w:rFonts w:cstheme="minorHAnsi"/>
        </w:rPr>
        <w:t xml:space="preserve"> of human rights documentation</w:t>
      </w:r>
      <w:r w:rsidR="009D1B47" w:rsidRPr="00CD4CEA">
        <w:rPr>
          <w:rFonts w:cstheme="minorHAnsi"/>
        </w:rPr>
        <w:t xml:space="preserve">. The </w:t>
      </w:r>
      <w:r w:rsidR="009D1B47" w:rsidRPr="0001733A">
        <w:rPr>
          <w:rFonts w:cstheme="minorHAnsi"/>
        </w:rPr>
        <w:t>i</w:t>
      </w:r>
      <w:r w:rsidR="001B11A9" w:rsidRPr="0001733A">
        <w:rPr>
          <w:rFonts w:cstheme="minorHAnsi"/>
        </w:rPr>
        <w:t>mpact</w:t>
      </w:r>
      <w:r w:rsidR="001B11A9" w:rsidRPr="00CD4CEA">
        <w:rPr>
          <w:rFonts w:cstheme="minorHAnsi"/>
        </w:rPr>
        <w:t xml:space="preserve"> of human rights documentation can range from the individual to the globe, and all of this impact is important in promoting and ensuring the centrality of human dignity.   </w:t>
      </w:r>
    </w:p>
    <w:p w14:paraId="7A94DBE4" w14:textId="77777777" w:rsidR="001B11A9" w:rsidRPr="00CD4CEA" w:rsidRDefault="001B11A9">
      <w:pPr>
        <w:rPr>
          <w:rFonts w:cstheme="minorHAnsi"/>
        </w:rPr>
      </w:pPr>
    </w:p>
    <w:p w14:paraId="3BC4AD12" w14:textId="4935A42C" w:rsidR="001B11A9" w:rsidRPr="00CD4CEA" w:rsidRDefault="001B11A9">
      <w:pPr>
        <w:rPr>
          <w:rFonts w:cstheme="minorHAnsi"/>
        </w:rPr>
      </w:pPr>
      <w:r w:rsidRPr="00CD4CEA">
        <w:rPr>
          <w:rFonts w:cstheme="minorHAnsi"/>
        </w:rPr>
        <w:t xml:space="preserve">One way to think through the </w:t>
      </w:r>
      <w:r w:rsidR="0001733A">
        <w:rPr>
          <w:rFonts w:cstheme="minorHAnsi"/>
        </w:rPr>
        <w:t xml:space="preserve">utility </w:t>
      </w:r>
      <w:r w:rsidRPr="00CD4CEA">
        <w:rPr>
          <w:rFonts w:cstheme="minorHAnsi"/>
        </w:rPr>
        <w:t xml:space="preserve">of human rights documentation is to assess its purpose. </w:t>
      </w:r>
      <w:r w:rsidR="009D1B47" w:rsidRPr="00CD4CEA">
        <w:rPr>
          <w:rFonts w:cstheme="minorHAnsi"/>
        </w:rPr>
        <w:t xml:space="preserve">Some of the purposes of human rights documentation beyond the courtroom include: </w:t>
      </w:r>
    </w:p>
    <w:p w14:paraId="03304D1B" w14:textId="77777777" w:rsidR="008108C9" w:rsidRPr="00CD4CEA" w:rsidRDefault="008108C9">
      <w:pPr>
        <w:rPr>
          <w:rFonts w:cstheme="minorHAnsi"/>
        </w:rPr>
      </w:pPr>
    </w:p>
    <w:p w14:paraId="6F0AB5CF" w14:textId="3F7E3E95" w:rsidR="008108C9" w:rsidRPr="00CD4CEA" w:rsidRDefault="008108C9" w:rsidP="009D1B47">
      <w:pPr>
        <w:pStyle w:val="ListParagraph"/>
        <w:numPr>
          <w:ilvl w:val="0"/>
          <w:numId w:val="15"/>
        </w:numPr>
        <w:ind w:left="1080"/>
        <w:rPr>
          <w:rFonts w:cstheme="minorHAnsi"/>
          <w:i/>
        </w:rPr>
      </w:pPr>
      <w:r w:rsidRPr="00CD4CEA">
        <w:rPr>
          <w:rFonts w:cstheme="minorHAnsi"/>
          <w:b/>
          <w:i/>
        </w:rPr>
        <w:t>Agency.</w:t>
      </w:r>
      <w:r w:rsidRPr="00CD4CEA">
        <w:rPr>
          <w:rFonts w:cstheme="minorHAnsi"/>
          <w:i/>
        </w:rPr>
        <w:t xml:space="preserve"> </w:t>
      </w:r>
      <w:r w:rsidR="009D1B47" w:rsidRPr="00CD4CEA">
        <w:rPr>
          <w:rFonts w:cstheme="minorHAnsi"/>
        </w:rPr>
        <w:t xml:space="preserve">Victims and bystanders may feel helpless in the face of overwhelming pressures created by the oppressive environment they are living in. They may feel their own narratives shifting as oppressors take over the media and information environment </w:t>
      </w:r>
      <w:r w:rsidR="009D1B47" w:rsidRPr="0001733A">
        <w:rPr>
          <w:rFonts w:cstheme="minorHAnsi"/>
        </w:rPr>
        <w:t>–</w:t>
      </w:r>
      <w:r w:rsidR="009D1B47" w:rsidRPr="00CD4CEA">
        <w:rPr>
          <w:rFonts w:cstheme="minorHAnsi"/>
        </w:rPr>
        <w:t xml:space="preserve"> questioning their own lived experiences. Documenting abuses and the related context can give them strength and agency to stand strong in their own knowledge and experiences. </w:t>
      </w:r>
      <w:r w:rsidR="006A5CC3" w:rsidRPr="00CD4CEA">
        <w:rPr>
          <w:rFonts w:cstheme="minorHAnsi"/>
        </w:rPr>
        <w:t xml:space="preserve">The </w:t>
      </w:r>
      <w:r w:rsidR="00AB57C4" w:rsidRPr="00CD4CEA">
        <w:rPr>
          <w:rFonts w:cstheme="minorHAnsi"/>
        </w:rPr>
        <w:t xml:space="preserve">NGO </w:t>
      </w:r>
      <w:proofErr w:type="spellStart"/>
      <w:r w:rsidR="006A5CC3" w:rsidRPr="00CD4CEA">
        <w:rPr>
          <w:rFonts w:cstheme="minorHAnsi"/>
        </w:rPr>
        <w:t>Videre</w:t>
      </w:r>
      <w:proofErr w:type="spellEnd"/>
      <w:r w:rsidR="006A5CC3" w:rsidRPr="00CD4CEA">
        <w:rPr>
          <w:rFonts w:cstheme="minorHAnsi"/>
        </w:rPr>
        <w:t xml:space="preserve"> </w:t>
      </w:r>
      <w:proofErr w:type="spellStart"/>
      <w:r w:rsidR="006A5CC3" w:rsidRPr="00CD4CEA">
        <w:rPr>
          <w:rFonts w:cstheme="minorHAnsi"/>
        </w:rPr>
        <w:t>est</w:t>
      </w:r>
      <w:proofErr w:type="spellEnd"/>
      <w:r w:rsidR="006A5CC3" w:rsidRPr="00CD4CEA">
        <w:rPr>
          <w:rFonts w:cstheme="minorHAnsi"/>
        </w:rPr>
        <w:t xml:space="preserve"> </w:t>
      </w:r>
      <w:proofErr w:type="spellStart"/>
      <w:r w:rsidR="006A5CC3" w:rsidRPr="00CD4CEA">
        <w:rPr>
          <w:rFonts w:cstheme="minorHAnsi"/>
        </w:rPr>
        <w:t>Credere</w:t>
      </w:r>
      <w:proofErr w:type="spellEnd"/>
      <w:r w:rsidR="006A5CC3" w:rsidRPr="00CD4CEA">
        <w:rPr>
          <w:rFonts w:cstheme="minorHAnsi"/>
        </w:rPr>
        <w:t xml:space="preserve"> works directly with community leaders and activists documenting human rights violations and </w:t>
      </w:r>
      <w:r w:rsidR="009D1B47" w:rsidRPr="00CD4CEA">
        <w:rPr>
          <w:rFonts w:cstheme="minorHAnsi"/>
        </w:rPr>
        <w:t>often hear</w:t>
      </w:r>
      <w:r w:rsidR="006A5CC3" w:rsidRPr="00CD4CEA">
        <w:rPr>
          <w:rFonts w:cstheme="minorHAnsi"/>
        </w:rPr>
        <w:t>s</w:t>
      </w:r>
      <w:r w:rsidR="009D1B47" w:rsidRPr="00CD4CEA">
        <w:rPr>
          <w:rFonts w:cstheme="minorHAnsi"/>
        </w:rPr>
        <w:t xml:space="preserve"> that “this work make</w:t>
      </w:r>
      <w:r w:rsidR="00380436" w:rsidRPr="00CD4CEA">
        <w:rPr>
          <w:rFonts w:cstheme="minorHAnsi"/>
        </w:rPr>
        <w:t>s</w:t>
      </w:r>
      <w:r w:rsidR="009D1B47" w:rsidRPr="00CD4CEA">
        <w:rPr>
          <w:rFonts w:cstheme="minorHAnsi"/>
        </w:rPr>
        <w:t xml:space="preserve"> me feel like I am doing something valuable for me and my community.”</w:t>
      </w:r>
      <w:r w:rsidR="0098168B">
        <w:rPr>
          <w:rStyle w:val="FootnoteReference"/>
          <w:rFonts w:cstheme="minorHAnsi"/>
        </w:rPr>
        <w:footnoteReference w:id="23"/>
      </w:r>
      <w:r w:rsidR="009D1B47" w:rsidRPr="00CD4CEA">
        <w:rPr>
          <w:rFonts w:cstheme="minorHAnsi"/>
        </w:rPr>
        <w:t xml:space="preserve"> </w:t>
      </w:r>
    </w:p>
    <w:p w14:paraId="08EDBE77" w14:textId="77777777" w:rsidR="00BC5C19" w:rsidRPr="00F17564" w:rsidRDefault="00BC5C19" w:rsidP="00BC5C19">
      <w:pPr>
        <w:pStyle w:val="ListParagraph"/>
        <w:ind w:left="1080"/>
        <w:rPr>
          <w:rFonts w:cstheme="minorHAnsi"/>
        </w:rPr>
      </w:pPr>
    </w:p>
    <w:p w14:paraId="23B093CE" w14:textId="08591D54" w:rsidR="00380436" w:rsidRPr="00CD4CEA" w:rsidRDefault="00BC5C19" w:rsidP="00BC5C19">
      <w:pPr>
        <w:pStyle w:val="ListParagraph"/>
        <w:ind w:left="1080"/>
        <w:rPr>
          <w:rFonts w:cstheme="minorHAnsi"/>
        </w:rPr>
      </w:pPr>
      <w:r w:rsidRPr="00CD4CEA">
        <w:rPr>
          <w:rFonts w:cstheme="minorHAnsi"/>
        </w:rPr>
        <w:t xml:space="preserve">The International </w:t>
      </w:r>
      <w:proofErr w:type="spellStart"/>
      <w:r w:rsidRPr="00CD4CEA">
        <w:rPr>
          <w:rFonts w:cstheme="minorHAnsi"/>
        </w:rPr>
        <w:t>Center</w:t>
      </w:r>
      <w:proofErr w:type="spellEnd"/>
      <w:r w:rsidRPr="00CD4CEA">
        <w:rPr>
          <w:rFonts w:cstheme="minorHAnsi"/>
        </w:rPr>
        <w:t xml:space="preserve"> for Transitional Justice has written about the importance of </w:t>
      </w:r>
      <w:r w:rsidR="00025A58" w:rsidRPr="00CD4CEA">
        <w:rPr>
          <w:rFonts w:cstheme="minorHAnsi"/>
        </w:rPr>
        <w:t>acknowledging the exper</w:t>
      </w:r>
      <w:r w:rsidR="00A83216" w:rsidRPr="00CD4CEA">
        <w:rPr>
          <w:rFonts w:cstheme="minorHAnsi"/>
        </w:rPr>
        <w:t>iences and opinions of vict</w:t>
      </w:r>
      <w:r w:rsidR="003B6DB8" w:rsidRPr="00CD4CEA">
        <w:rPr>
          <w:rFonts w:cstheme="minorHAnsi"/>
        </w:rPr>
        <w:t xml:space="preserve">ims, accounting for their lived reality and recording their memories. </w:t>
      </w:r>
      <w:r w:rsidR="00380436" w:rsidRPr="00CD4CEA">
        <w:rPr>
          <w:rFonts w:cstheme="minorHAnsi"/>
        </w:rPr>
        <w:t>“Authoritarian regimes tend to manipulate the truth, especially to maintain power after a conflict or period of violence. For example, in the 1980s, the Syrian regime suppressed the truth about the Hama Massacre, when the President Hafez al-Assad ordered the city of Hama to be razed in order to crush a Sunni rebellion, with an estimated 20,000 killed. To this day, it remains unclear what happened during the massacre, and victims have not received any form of justice.”</w:t>
      </w:r>
      <w:r w:rsidR="00380436" w:rsidRPr="00CD4CEA">
        <w:rPr>
          <w:rStyle w:val="FootnoteReference"/>
          <w:rFonts w:cstheme="minorHAnsi"/>
        </w:rPr>
        <w:footnoteReference w:id="24"/>
      </w:r>
    </w:p>
    <w:p w14:paraId="4822FEA2" w14:textId="77777777" w:rsidR="00380436" w:rsidRPr="00CD4CEA" w:rsidRDefault="00380436" w:rsidP="00BC5C19">
      <w:pPr>
        <w:pStyle w:val="ListParagraph"/>
        <w:ind w:left="1080"/>
        <w:rPr>
          <w:rFonts w:cstheme="minorHAnsi"/>
        </w:rPr>
      </w:pPr>
    </w:p>
    <w:p w14:paraId="2F4D9E61" w14:textId="325C694F" w:rsidR="00380436" w:rsidRPr="00CD4CEA" w:rsidRDefault="00380436" w:rsidP="0098168B">
      <w:pPr>
        <w:pStyle w:val="ListParagraph"/>
        <w:ind w:left="1080"/>
      </w:pPr>
      <w:r w:rsidRPr="00CD4CEA">
        <w:rPr>
          <w:rFonts w:cstheme="minorHAnsi"/>
        </w:rPr>
        <w:t>A</w:t>
      </w:r>
      <w:r w:rsidR="003B6DB8" w:rsidRPr="00CD4CEA">
        <w:rPr>
          <w:rFonts w:cstheme="minorHAnsi"/>
        </w:rPr>
        <w:t>cknowledgement creates avenues</w:t>
      </w:r>
      <w:r w:rsidR="001877CC" w:rsidRPr="00CD4CEA">
        <w:rPr>
          <w:rFonts w:cstheme="minorHAnsi"/>
        </w:rPr>
        <w:t xml:space="preserve"> to meaningful action</w:t>
      </w:r>
      <w:r w:rsidR="003B6DB8" w:rsidRPr="00CD4CEA">
        <w:rPr>
          <w:rFonts w:cstheme="minorHAnsi"/>
        </w:rPr>
        <w:t xml:space="preserve"> for local organizations and the international community to </w:t>
      </w:r>
      <w:r w:rsidR="00C6629E" w:rsidRPr="00CD4CEA">
        <w:rPr>
          <w:rFonts w:cstheme="minorHAnsi"/>
        </w:rPr>
        <w:t xml:space="preserve">take </w:t>
      </w:r>
      <w:r w:rsidR="003B6DB8" w:rsidRPr="00CD4CEA">
        <w:rPr>
          <w:rFonts w:cstheme="minorHAnsi"/>
        </w:rPr>
        <w:t>meaningful action “foster[</w:t>
      </w:r>
      <w:proofErr w:type="spellStart"/>
      <w:r w:rsidR="003B6DB8" w:rsidRPr="00CD4CEA">
        <w:rPr>
          <w:rFonts w:cstheme="minorHAnsi"/>
        </w:rPr>
        <w:t>ing</w:t>
      </w:r>
      <w:proofErr w:type="spellEnd"/>
      <w:r w:rsidR="003B6DB8" w:rsidRPr="00CD4CEA">
        <w:rPr>
          <w:rFonts w:cstheme="minorHAnsi"/>
        </w:rPr>
        <w:t>] their right to the truth</w:t>
      </w:r>
      <w:r w:rsidRPr="00CD4CEA">
        <w:rPr>
          <w:rFonts w:cstheme="minorHAnsi"/>
        </w:rPr>
        <w:t>, counter[</w:t>
      </w:r>
      <w:proofErr w:type="spellStart"/>
      <w:r w:rsidRPr="00CD4CEA">
        <w:rPr>
          <w:rFonts w:cstheme="minorHAnsi"/>
        </w:rPr>
        <w:t>ing</w:t>
      </w:r>
      <w:proofErr w:type="spellEnd"/>
      <w:r w:rsidRPr="00CD4CEA">
        <w:rPr>
          <w:rFonts w:cstheme="minorHAnsi"/>
        </w:rPr>
        <w:t xml:space="preserve">] denial, and </w:t>
      </w:r>
      <w:proofErr w:type="spellStart"/>
      <w:r w:rsidRPr="00CD4CEA">
        <w:rPr>
          <w:rFonts w:cstheme="minorHAnsi"/>
        </w:rPr>
        <w:t>ensur</w:t>
      </w:r>
      <w:proofErr w:type="spellEnd"/>
      <w:r w:rsidRPr="00CD4CEA">
        <w:rPr>
          <w:rFonts w:cstheme="minorHAnsi"/>
        </w:rPr>
        <w:t>[</w:t>
      </w:r>
      <w:proofErr w:type="spellStart"/>
      <w:r w:rsidRPr="00CD4CEA">
        <w:rPr>
          <w:rFonts w:cstheme="minorHAnsi"/>
        </w:rPr>
        <w:t>ing</w:t>
      </w:r>
      <w:proofErr w:type="spellEnd"/>
      <w:r w:rsidRPr="00CD4CEA">
        <w:rPr>
          <w:rFonts w:cstheme="minorHAnsi"/>
        </w:rPr>
        <w:t>] that crimes…are not completely disavowed or forgotten.”</w:t>
      </w:r>
      <w:r w:rsidRPr="00CD4CEA">
        <w:rPr>
          <w:rStyle w:val="FootnoteReference"/>
          <w:rFonts w:cstheme="minorHAnsi"/>
        </w:rPr>
        <w:footnoteReference w:id="25"/>
      </w:r>
      <w:r w:rsidRPr="00CD4CEA">
        <w:rPr>
          <w:rFonts w:cstheme="minorHAnsi"/>
        </w:rPr>
        <w:t xml:space="preserve"> </w:t>
      </w:r>
    </w:p>
    <w:p w14:paraId="4FC1C914" w14:textId="77777777" w:rsidR="008108C9" w:rsidRPr="00F17564" w:rsidRDefault="008108C9" w:rsidP="009D1B47">
      <w:pPr>
        <w:rPr>
          <w:rFonts w:cstheme="minorHAnsi"/>
        </w:rPr>
      </w:pPr>
    </w:p>
    <w:p w14:paraId="584BD5F0" w14:textId="1063B1BB" w:rsidR="008108C9" w:rsidRPr="00CD4CEA" w:rsidRDefault="00490DCB" w:rsidP="009D1B47">
      <w:pPr>
        <w:pStyle w:val="ListParagraph"/>
        <w:numPr>
          <w:ilvl w:val="0"/>
          <w:numId w:val="15"/>
        </w:numPr>
        <w:ind w:left="1080"/>
        <w:rPr>
          <w:rFonts w:cstheme="minorHAnsi"/>
          <w:i/>
        </w:rPr>
      </w:pPr>
      <w:r w:rsidRPr="00CD4CEA">
        <w:rPr>
          <w:rFonts w:cstheme="minorHAnsi"/>
          <w:b/>
          <w:i/>
        </w:rPr>
        <w:t>Healing</w:t>
      </w:r>
      <w:r w:rsidR="008108C9" w:rsidRPr="00CD4CEA">
        <w:rPr>
          <w:rFonts w:cstheme="minorHAnsi"/>
          <w:b/>
          <w:i/>
        </w:rPr>
        <w:t>.</w:t>
      </w:r>
      <w:r w:rsidR="008108C9" w:rsidRPr="00CD4CEA">
        <w:rPr>
          <w:rFonts w:cstheme="minorHAnsi"/>
          <w:i/>
        </w:rPr>
        <w:t xml:space="preserve"> </w:t>
      </w:r>
      <w:r w:rsidR="00FF5E00" w:rsidRPr="00CD4CEA">
        <w:rPr>
          <w:rFonts w:cstheme="minorHAnsi"/>
        </w:rPr>
        <w:t>Sensitive h</w:t>
      </w:r>
      <w:r w:rsidR="00CA0DAD" w:rsidRPr="00CD4CEA">
        <w:rPr>
          <w:rFonts w:cstheme="minorHAnsi"/>
        </w:rPr>
        <w:t>uman rights documentation can also help w</w:t>
      </w:r>
      <w:r w:rsidR="0000181D" w:rsidRPr="00CD4CEA">
        <w:rPr>
          <w:rFonts w:cstheme="minorHAnsi"/>
        </w:rPr>
        <w:t xml:space="preserve">ith trauma recovery and healing. </w:t>
      </w:r>
      <w:r w:rsidR="00A417BE" w:rsidRPr="00CD4CEA">
        <w:rPr>
          <w:rFonts w:cstheme="minorHAnsi"/>
        </w:rPr>
        <w:t xml:space="preserve">Narrative biographical interviews, artistic expressions of past events, </w:t>
      </w:r>
      <w:r w:rsidR="00F35969" w:rsidRPr="00CD4CEA">
        <w:rPr>
          <w:rFonts w:cstheme="minorHAnsi"/>
        </w:rPr>
        <w:t xml:space="preserve">storytelling, </w:t>
      </w:r>
      <w:r w:rsidR="00A417BE" w:rsidRPr="00CD4CEA">
        <w:rPr>
          <w:rFonts w:cstheme="minorHAnsi"/>
        </w:rPr>
        <w:t>and</w:t>
      </w:r>
      <w:r w:rsidR="00F35969" w:rsidRPr="00CD4CEA">
        <w:rPr>
          <w:rFonts w:cstheme="minorHAnsi"/>
        </w:rPr>
        <w:t xml:space="preserve"> other</w:t>
      </w:r>
      <w:r w:rsidR="00A417BE" w:rsidRPr="00CD4CEA">
        <w:rPr>
          <w:rFonts w:cstheme="minorHAnsi"/>
        </w:rPr>
        <w:t xml:space="preserve"> truth and reconciliation activities have been shown to promote individual and collective healing. </w:t>
      </w:r>
      <w:r w:rsidR="00F35969" w:rsidRPr="00CD4CEA">
        <w:rPr>
          <w:rFonts w:cstheme="minorHAnsi"/>
        </w:rPr>
        <w:t xml:space="preserve">Narrative biographical interviews </w:t>
      </w:r>
      <w:r w:rsidR="00F35969" w:rsidRPr="0001733A">
        <w:rPr>
          <w:rFonts w:cstheme="minorHAnsi"/>
        </w:rPr>
        <w:t>–</w:t>
      </w:r>
      <w:r w:rsidR="00F35969" w:rsidRPr="00CD4CEA">
        <w:rPr>
          <w:rFonts w:cstheme="minorHAnsi"/>
        </w:rPr>
        <w:t xml:space="preserve"> like any form of testimony-taking </w:t>
      </w:r>
      <w:r w:rsidR="00F35969" w:rsidRPr="0001733A">
        <w:rPr>
          <w:rFonts w:cstheme="minorHAnsi"/>
        </w:rPr>
        <w:t>–</w:t>
      </w:r>
      <w:r w:rsidR="00F35969" w:rsidRPr="00CD4CEA">
        <w:rPr>
          <w:rFonts w:cstheme="minorHAnsi"/>
        </w:rPr>
        <w:t xml:space="preserve"> require a high level of care, planning, and sensitivity</w:t>
      </w:r>
      <w:r w:rsidR="008A6A84" w:rsidRPr="00CD4CEA">
        <w:rPr>
          <w:rFonts w:cstheme="minorHAnsi"/>
        </w:rPr>
        <w:t xml:space="preserve"> to prevent re-traumatization. </w:t>
      </w:r>
    </w:p>
    <w:p w14:paraId="705B3193" w14:textId="77777777" w:rsidR="00BB13E6" w:rsidRPr="00F17564" w:rsidRDefault="00BB13E6" w:rsidP="00BB13E6">
      <w:pPr>
        <w:pStyle w:val="ListParagraph"/>
        <w:rPr>
          <w:rFonts w:cstheme="minorHAnsi"/>
        </w:rPr>
      </w:pPr>
    </w:p>
    <w:p w14:paraId="2132D5D8" w14:textId="5B9A60DF" w:rsidR="0014261A" w:rsidRDefault="00BB13E6" w:rsidP="0014261A">
      <w:pPr>
        <w:ind w:left="1080"/>
        <w:rPr>
          <w:rFonts w:cstheme="minorHAnsi"/>
          <w:lang w:val="en-US"/>
        </w:rPr>
      </w:pPr>
      <w:r w:rsidRPr="00CD4CEA">
        <w:rPr>
          <w:rFonts w:cstheme="minorHAnsi"/>
        </w:rPr>
        <w:t>For example, in 2017</w:t>
      </w:r>
      <w:r w:rsidR="00854CEA" w:rsidRPr="00CD4CEA">
        <w:rPr>
          <w:rFonts w:cstheme="minorHAnsi"/>
        </w:rPr>
        <w:t>,</w:t>
      </w:r>
      <w:r w:rsidRPr="00CD4CEA">
        <w:rPr>
          <w:rFonts w:cstheme="minorHAnsi"/>
        </w:rPr>
        <w:t xml:space="preserve"> the </w:t>
      </w:r>
      <w:r w:rsidR="00854CEA" w:rsidRPr="00CD4CEA">
        <w:rPr>
          <w:rFonts w:cstheme="minorHAnsi"/>
        </w:rPr>
        <w:t xml:space="preserve">members of the </w:t>
      </w:r>
      <w:r w:rsidR="001877CC" w:rsidRPr="00CD4CEA">
        <w:rPr>
          <w:rFonts w:cstheme="minorHAnsi"/>
        </w:rPr>
        <w:t>Global Initiative for Justice, Truth and Reconciliation (</w:t>
      </w:r>
      <w:r w:rsidRPr="00CD4CEA">
        <w:rPr>
          <w:rFonts w:cstheme="minorHAnsi"/>
        </w:rPr>
        <w:t>GIJTR</w:t>
      </w:r>
      <w:r w:rsidR="001877CC" w:rsidRPr="00CD4CEA">
        <w:rPr>
          <w:rFonts w:cstheme="minorHAnsi"/>
        </w:rPr>
        <w:t>)</w:t>
      </w:r>
      <w:r w:rsidRPr="00CD4CEA">
        <w:rPr>
          <w:rFonts w:cstheme="minorHAnsi"/>
        </w:rPr>
        <w:t xml:space="preserve"> trained East African activists to lead body mapping workshops with survivors and community members. </w:t>
      </w:r>
      <w:r w:rsidRPr="00CD4CEA">
        <w:rPr>
          <w:rFonts w:cstheme="minorHAnsi"/>
          <w:lang w:val="en-US"/>
        </w:rPr>
        <w:t>Body mapping is an arts-based documentation process through which survivors share their stories of the pain, violence</w:t>
      </w:r>
      <w:r w:rsidR="00854CEA" w:rsidRPr="00CD4CEA">
        <w:rPr>
          <w:rFonts w:cstheme="minorHAnsi"/>
          <w:lang w:val="en-US"/>
        </w:rPr>
        <w:t>,</w:t>
      </w:r>
      <w:r w:rsidRPr="00CD4CEA">
        <w:rPr>
          <w:rFonts w:cstheme="minorHAnsi"/>
          <w:lang w:val="en-US"/>
        </w:rPr>
        <w:t xml:space="preserve"> and displacement through life-sized drawings of their own bodies</w:t>
      </w:r>
      <w:r w:rsidR="00B81779">
        <w:rPr>
          <w:rFonts w:cstheme="minorHAnsi"/>
          <w:lang w:val="en-US"/>
        </w:rPr>
        <w:t xml:space="preserve"> that</w:t>
      </w:r>
      <w:r w:rsidRPr="00CD4CEA">
        <w:rPr>
          <w:rFonts w:cstheme="minorHAnsi"/>
          <w:lang w:val="en-US"/>
        </w:rPr>
        <w:t xml:space="preserve"> are complemented by symbolic descriptions of</w:t>
      </w:r>
      <w:r w:rsidR="00AB57C4" w:rsidRPr="00CD4CEA">
        <w:rPr>
          <w:rFonts w:cstheme="minorHAnsi"/>
          <w:lang w:val="en-US"/>
        </w:rPr>
        <w:t xml:space="preserve"> past</w:t>
      </w:r>
      <w:r w:rsidRPr="00CD4CEA">
        <w:rPr>
          <w:rFonts w:cstheme="minorHAnsi"/>
          <w:lang w:val="en-US"/>
        </w:rPr>
        <w:t xml:space="preserve"> trauma. The completed body maps </w:t>
      </w:r>
      <w:r w:rsidR="00180713">
        <w:rPr>
          <w:rFonts w:cstheme="minorHAnsi"/>
          <w:lang w:val="en-US"/>
        </w:rPr>
        <w:t>are</w:t>
      </w:r>
      <w:r w:rsidRPr="00CD4CEA">
        <w:rPr>
          <w:rFonts w:cstheme="minorHAnsi"/>
          <w:lang w:val="en-US"/>
        </w:rPr>
        <w:t xml:space="preserve"> preserved and exhibited, encourag</w:t>
      </w:r>
      <w:r w:rsidR="00180713">
        <w:rPr>
          <w:rFonts w:cstheme="minorHAnsi"/>
          <w:lang w:val="en-US"/>
        </w:rPr>
        <w:t>ing</w:t>
      </w:r>
      <w:r w:rsidRPr="00CD4CEA">
        <w:rPr>
          <w:rFonts w:cstheme="minorHAnsi"/>
          <w:lang w:val="en-US"/>
        </w:rPr>
        <w:t xml:space="preserve"> </w:t>
      </w:r>
      <w:r w:rsidR="00AB57C4" w:rsidRPr="00CD4CEA">
        <w:rPr>
          <w:rFonts w:cstheme="minorHAnsi"/>
          <w:lang w:val="en-US"/>
        </w:rPr>
        <w:t xml:space="preserve">additional community </w:t>
      </w:r>
      <w:r w:rsidRPr="00CD4CEA">
        <w:rPr>
          <w:rFonts w:cstheme="minorHAnsi"/>
          <w:lang w:val="en-US"/>
        </w:rPr>
        <w:t>dialogue and helping survivors achieve a feeling of recognition for the experiences they</w:t>
      </w:r>
      <w:r w:rsidR="00180713">
        <w:rPr>
          <w:rFonts w:cstheme="minorHAnsi"/>
          <w:lang w:val="en-US"/>
        </w:rPr>
        <w:t xml:space="preserve"> have</w:t>
      </w:r>
      <w:r w:rsidRPr="00CD4CEA">
        <w:rPr>
          <w:rFonts w:cstheme="minorHAnsi"/>
          <w:lang w:val="en-US"/>
        </w:rPr>
        <w:t xml:space="preserve"> endured. </w:t>
      </w:r>
      <w:r w:rsidR="00180713" w:rsidRPr="00CD4CEA">
        <w:rPr>
          <w:rFonts w:cstheme="minorHAnsi"/>
          <w:lang w:val="en-US"/>
        </w:rPr>
        <w:t xml:space="preserve">Participants in community workshops have been able to find relief through sharing their stories and developing these drawings. </w:t>
      </w:r>
      <w:r w:rsidRPr="00CD4CEA">
        <w:rPr>
          <w:rFonts w:cstheme="minorHAnsi"/>
          <w:lang w:val="en-US"/>
        </w:rPr>
        <w:t xml:space="preserve">As one body mapping participant shared, </w:t>
      </w:r>
      <w:r w:rsidRPr="00CD4CEA">
        <w:rPr>
          <w:rFonts w:cstheme="minorHAnsi"/>
        </w:rPr>
        <w:t>“</w:t>
      </w:r>
      <w:r w:rsidRPr="00CD4CEA">
        <w:rPr>
          <w:rFonts w:cstheme="minorHAnsi"/>
          <w:lang w:val="en-US"/>
        </w:rPr>
        <w:t>If this methodology could be encouraged, it will contribute [to] the process of reconciling individuals [and thus] groups." Another shared, “This work is taxing; as we hear others tell their stories, it reminds us of our own stories. But it is worth doing it if we want to see people healed from bitterness of the past. Let us continue doing it."</w:t>
      </w:r>
      <w:r w:rsidR="00180713">
        <w:rPr>
          <w:rStyle w:val="FootnoteReference"/>
          <w:rFonts w:cstheme="minorHAnsi"/>
          <w:lang w:val="en-US"/>
        </w:rPr>
        <w:footnoteReference w:id="26"/>
      </w:r>
      <w:r w:rsidRPr="00CD4CEA">
        <w:rPr>
          <w:rFonts w:cstheme="minorHAnsi"/>
          <w:lang w:val="en-US"/>
        </w:rPr>
        <w:t xml:space="preserve"> </w:t>
      </w:r>
    </w:p>
    <w:p w14:paraId="3CB2B9D1" w14:textId="77777777" w:rsidR="0014261A" w:rsidRDefault="0014261A" w:rsidP="0014261A">
      <w:pPr>
        <w:ind w:left="1080"/>
        <w:rPr>
          <w:rFonts w:cstheme="minorHAnsi"/>
          <w:b/>
          <w:lang w:val="en-US"/>
        </w:rPr>
      </w:pPr>
    </w:p>
    <w:p w14:paraId="27A9D8EA" w14:textId="4C9A459C" w:rsidR="004D4932" w:rsidRPr="0014261A" w:rsidRDefault="004D4932" w:rsidP="0014261A">
      <w:pPr>
        <w:pStyle w:val="ListParagraph"/>
        <w:numPr>
          <w:ilvl w:val="0"/>
          <w:numId w:val="15"/>
        </w:numPr>
        <w:ind w:left="1134"/>
        <w:rPr>
          <w:rFonts w:cstheme="minorHAnsi"/>
          <w:b/>
          <w:lang w:val="en-US"/>
        </w:rPr>
      </w:pPr>
      <w:r w:rsidRPr="0014261A">
        <w:rPr>
          <w:rFonts w:cstheme="minorHAnsi"/>
          <w:b/>
          <w:i/>
        </w:rPr>
        <w:t>Awareness.</w:t>
      </w:r>
      <w:r w:rsidRPr="0014261A">
        <w:rPr>
          <w:rFonts w:cstheme="minorHAnsi"/>
          <w:i/>
        </w:rPr>
        <w:t xml:space="preserve"> </w:t>
      </w:r>
      <w:r w:rsidRPr="0014261A">
        <w:rPr>
          <w:rFonts w:cstheme="minorHAnsi"/>
        </w:rPr>
        <w:t xml:space="preserve">Human rights documentation can raise awareness locally, regionally, nationally, and internationally to what is happening and give rise to alternative narratives. Awareness-raising efforts – whether through NGO advocacy, grassroots campaigning, media articles, or social media posts – increase the number and range of voices, leverage, and pressure points. </w:t>
      </w:r>
      <w:r w:rsidR="002D0A69" w:rsidRPr="0014261A">
        <w:rPr>
          <w:rFonts w:cstheme="minorHAnsi"/>
        </w:rPr>
        <w:t>Raising awareness can be the end goal of a do</w:t>
      </w:r>
      <w:r w:rsidR="0014261A">
        <w:rPr>
          <w:rFonts w:cstheme="minorHAnsi"/>
        </w:rPr>
        <w:t xml:space="preserve">cumentation effort, but </w:t>
      </w:r>
      <w:r w:rsidR="00F54134">
        <w:rPr>
          <w:rFonts w:cstheme="minorHAnsi"/>
        </w:rPr>
        <w:t>more often</w:t>
      </w:r>
      <w:r w:rsidR="0014261A">
        <w:rPr>
          <w:rFonts w:cstheme="minorHAnsi"/>
        </w:rPr>
        <w:t xml:space="preserve"> awareness-raising efforts lead to </w:t>
      </w:r>
      <w:r w:rsidR="00F54134">
        <w:rPr>
          <w:rFonts w:cstheme="minorHAnsi"/>
        </w:rPr>
        <w:t xml:space="preserve">another purpose, whether targeted at an individual, community, or country. </w:t>
      </w:r>
    </w:p>
    <w:p w14:paraId="40660CCF" w14:textId="77777777" w:rsidR="004D4932" w:rsidRPr="00F17564" w:rsidRDefault="004D4932" w:rsidP="009D1B47">
      <w:pPr>
        <w:rPr>
          <w:rFonts w:cstheme="minorHAnsi"/>
        </w:rPr>
      </w:pPr>
    </w:p>
    <w:p w14:paraId="5086CB12" w14:textId="513B948A" w:rsidR="008E69B6" w:rsidRPr="00CD4CEA" w:rsidRDefault="008E69B6" w:rsidP="009D1B47">
      <w:pPr>
        <w:pStyle w:val="ListParagraph"/>
        <w:numPr>
          <w:ilvl w:val="0"/>
          <w:numId w:val="15"/>
        </w:numPr>
        <w:ind w:left="1080"/>
        <w:rPr>
          <w:rFonts w:cstheme="minorHAnsi"/>
          <w:i/>
        </w:rPr>
      </w:pPr>
      <w:r w:rsidRPr="00CD4CEA">
        <w:rPr>
          <w:rFonts w:cstheme="minorHAnsi"/>
          <w:b/>
          <w:i/>
        </w:rPr>
        <w:t>Community Building</w:t>
      </w:r>
      <w:r w:rsidR="008A6A84" w:rsidRPr="00CD4CEA">
        <w:rPr>
          <w:rFonts w:cstheme="minorHAnsi"/>
          <w:b/>
          <w:i/>
        </w:rPr>
        <w:t>.</w:t>
      </w:r>
      <w:r w:rsidR="008A6A84" w:rsidRPr="00CD4CEA">
        <w:rPr>
          <w:rFonts w:cstheme="minorHAnsi"/>
          <w:i/>
        </w:rPr>
        <w:t xml:space="preserve"> </w:t>
      </w:r>
      <w:r w:rsidR="0034728D" w:rsidRPr="00CD4CEA">
        <w:rPr>
          <w:rFonts w:cstheme="minorHAnsi"/>
        </w:rPr>
        <w:t>The information obtained through human rights documentation efforts can also forge new communal bonds and identity. This community building can happen at various levels of community: local, regional, national, or global</w:t>
      </w:r>
      <w:r w:rsidR="00C6629E" w:rsidRPr="00CD4CEA">
        <w:rPr>
          <w:rFonts w:cstheme="minorHAnsi"/>
        </w:rPr>
        <w:t xml:space="preserve"> </w:t>
      </w:r>
      <w:r w:rsidR="00AD0021">
        <w:rPr>
          <w:rFonts w:cstheme="minorHAnsi"/>
        </w:rPr>
        <w:t xml:space="preserve">– but </w:t>
      </w:r>
      <w:r w:rsidR="0034728D" w:rsidRPr="00CD4CEA">
        <w:rPr>
          <w:rFonts w:cstheme="minorHAnsi"/>
        </w:rPr>
        <w:t>at its core</w:t>
      </w:r>
      <w:r w:rsidR="00C6629E" w:rsidRPr="00CD4CEA">
        <w:rPr>
          <w:rFonts w:cstheme="minorHAnsi"/>
        </w:rPr>
        <w:t>,</w:t>
      </w:r>
      <w:r w:rsidR="0034728D" w:rsidRPr="00CD4CEA">
        <w:rPr>
          <w:rFonts w:cstheme="minorHAnsi"/>
        </w:rPr>
        <w:t xml:space="preserve"> it is about how documentation can </w:t>
      </w:r>
      <w:r w:rsidR="0034728D" w:rsidRPr="00AD0021">
        <w:rPr>
          <w:rFonts w:cstheme="minorHAnsi"/>
        </w:rPr>
        <w:t>shift and shape</w:t>
      </w:r>
      <w:r w:rsidR="0034728D" w:rsidRPr="00CD4CEA">
        <w:rPr>
          <w:rFonts w:cstheme="minorHAnsi"/>
        </w:rPr>
        <w:t xml:space="preserve"> community values by bringing new perspectives to light in a way that the community itself can hold and embody. This could be accomplished through advocacy campaigns, artistic expression (</w:t>
      </w:r>
      <w:r w:rsidR="00C6629E" w:rsidRPr="00CD4CEA">
        <w:rPr>
          <w:rFonts w:cstheme="minorHAnsi"/>
        </w:rPr>
        <w:t xml:space="preserve">such as </w:t>
      </w:r>
      <w:r w:rsidR="0034728D" w:rsidRPr="00CD4CEA">
        <w:rPr>
          <w:rFonts w:cstheme="minorHAnsi"/>
        </w:rPr>
        <w:t xml:space="preserve">theatre, visual arts, storytelling, music), or grassroots organizing.   </w:t>
      </w:r>
    </w:p>
    <w:p w14:paraId="5E2941F0" w14:textId="77777777" w:rsidR="00BB13E6" w:rsidRPr="00CD4CEA" w:rsidRDefault="00BB13E6" w:rsidP="00BB13E6">
      <w:pPr>
        <w:rPr>
          <w:rFonts w:cstheme="minorHAnsi"/>
        </w:rPr>
      </w:pPr>
    </w:p>
    <w:p w14:paraId="6FD36A34" w14:textId="3794CF0F" w:rsidR="00BB13E6" w:rsidRPr="00CD4CEA" w:rsidRDefault="0001733A" w:rsidP="00BB13E6">
      <w:pPr>
        <w:pStyle w:val="ListParagraph"/>
        <w:ind w:left="1080"/>
        <w:rPr>
          <w:rFonts w:cstheme="minorHAnsi"/>
        </w:rPr>
      </w:pPr>
      <w:r>
        <w:rPr>
          <w:rFonts w:cstheme="minorHAnsi"/>
        </w:rPr>
        <w:t>For example, i</w:t>
      </w:r>
      <w:r w:rsidR="00BB13E6" w:rsidRPr="00CD4CEA">
        <w:rPr>
          <w:rFonts w:cstheme="minorHAnsi"/>
        </w:rPr>
        <w:t xml:space="preserve">n Colombia, in 2020, GIJTR </w:t>
      </w:r>
      <w:r w:rsidR="00854CEA" w:rsidRPr="00CD4CEA">
        <w:rPr>
          <w:rFonts w:cstheme="minorHAnsi"/>
        </w:rPr>
        <w:t xml:space="preserve">members </w:t>
      </w:r>
      <w:r w:rsidR="00AB57C4" w:rsidRPr="00CD4CEA">
        <w:rPr>
          <w:rFonts w:cstheme="minorHAnsi"/>
        </w:rPr>
        <w:t xml:space="preserve">supported </w:t>
      </w:r>
      <w:r w:rsidR="00BB13E6" w:rsidRPr="00CD4CEA">
        <w:rPr>
          <w:rFonts w:cstheme="minorHAnsi"/>
        </w:rPr>
        <w:t>the El Castillo communities</w:t>
      </w:r>
      <w:r w:rsidR="00AB57C4" w:rsidRPr="00CD4CEA">
        <w:rPr>
          <w:rFonts w:cstheme="minorHAnsi"/>
        </w:rPr>
        <w:t xml:space="preserve"> </w:t>
      </w:r>
      <w:r w:rsidR="0079294E">
        <w:rPr>
          <w:rFonts w:cstheme="minorHAnsi"/>
        </w:rPr>
        <w:t>in</w:t>
      </w:r>
      <w:r w:rsidR="0079294E" w:rsidRPr="00CD4CEA">
        <w:rPr>
          <w:rFonts w:cstheme="minorHAnsi"/>
        </w:rPr>
        <w:t xml:space="preserve"> </w:t>
      </w:r>
      <w:r w:rsidR="00BB13E6" w:rsidRPr="00CD4CEA">
        <w:rPr>
          <w:rFonts w:cstheme="minorHAnsi"/>
        </w:rPr>
        <w:t>produc</w:t>
      </w:r>
      <w:r w:rsidR="0079294E">
        <w:rPr>
          <w:rFonts w:cstheme="minorHAnsi"/>
        </w:rPr>
        <w:t>ing</w:t>
      </w:r>
      <w:r w:rsidR="00BB13E6" w:rsidRPr="00CD4CEA">
        <w:rPr>
          <w:rFonts w:cstheme="minorHAnsi"/>
        </w:rPr>
        <w:t xml:space="preserve"> handmade rag dolls </w:t>
      </w:r>
      <w:r w:rsidR="00AB57C4" w:rsidRPr="00CD4CEA">
        <w:rPr>
          <w:rFonts w:cstheme="minorHAnsi"/>
        </w:rPr>
        <w:t>containing</w:t>
      </w:r>
      <w:r w:rsidR="00BB13E6" w:rsidRPr="00CD4CEA">
        <w:rPr>
          <w:rFonts w:cstheme="minorHAnsi"/>
        </w:rPr>
        <w:t xml:space="preserve"> MP3 recordings </w:t>
      </w:r>
      <w:r w:rsidR="00557EFC">
        <w:rPr>
          <w:rFonts w:cstheme="minorHAnsi"/>
        </w:rPr>
        <w:t xml:space="preserve">of </w:t>
      </w:r>
      <w:r w:rsidR="00BB13E6" w:rsidRPr="00CD4CEA">
        <w:rPr>
          <w:rFonts w:cstheme="minorHAnsi"/>
        </w:rPr>
        <w:t>testimonies of families and victims of the armed conflict. The</w:t>
      </w:r>
      <w:r w:rsidR="00AB57C4" w:rsidRPr="00CD4CEA">
        <w:rPr>
          <w:rFonts w:cstheme="minorHAnsi"/>
        </w:rPr>
        <w:t xml:space="preserve"> dolls </w:t>
      </w:r>
      <w:r w:rsidR="004D4932" w:rsidRPr="00CD4CEA">
        <w:rPr>
          <w:rFonts w:cstheme="minorHAnsi"/>
        </w:rPr>
        <w:t>were exhibited</w:t>
      </w:r>
      <w:r w:rsidR="00BB13E6" w:rsidRPr="00CD4CEA">
        <w:rPr>
          <w:rFonts w:cstheme="minorHAnsi"/>
        </w:rPr>
        <w:t xml:space="preserve"> in schools and churches, and members of the community quickly became interested in making their own dolls to remember lost ones. </w:t>
      </w:r>
      <w:r w:rsidR="00AB57C4" w:rsidRPr="00CD4CEA">
        <w:rPr>
          <w:rFonts w:cstheme="minorHAnsi"/>
        </w:rPr>
        <w:t>Similarly,</w:t>
      </w:r>
      <w:r w:rsidR="00D55B9B" w:rsidRPr="00CD4CEA">
        <w:rPr>
          <w:rFonts w:cstheme="minorHAnsi"/>
        </w:rPr>
        <w:t xml:space="preserve"> </w:t>
      </w:r>
      <w:r w:rsidR="00AB57C4" w:rsidRPr="00CD4CEA">
        <w:rPr>
          <w:rFonts w:cstheme="minorHAnsi"/>
        </w:rPr>
        <w:t>i</w:t>
      </w:r>
      <w:r w:rsidR="00BB13E6" w:rsidRPr="00CD4CEA">
        <w:rPr>
          <w:rFonts w:cstheme="minorHAnsi"/>
        </w:rPr>
        <w:t xml:space="preserve">n the </w:t>
      </w:r>
      <w:proofErr w:type="spellStart"/>
      <w:r w:rsidR="00BB13E6" w:rsidRPr="00CD4CEA">
        <w:rPr>
          <w:rFonts w:cstheme="minorHAnsi"/>
        </w:rPr>
        <w:t>Wayúu</w:t>
      </w:r>
      <w:proofErr w:type="spellEnd"/>
      <w:r w:rsidR="00BB13E6" w:rsidRPr="00CD4CEA">
        <w:rPr>
          <w:rFonts w:cstheme="minorHAnsi"/>
        </w:rPr>
        <w:t xml:space="preserve"> communities, a group of women developed a memory initiative where they invited members of the community to knit </w:t>
      </w:r>
      <w:proofErr w:type="spellStart"/>
      <w:r w:rsidR="00BB13E6" w:rsidRPr="00CD4CEA">
        <w:rPr>
          <w:rFonts w:cstheme="minorHAnsi"/>
        </w:rPr>
        <w:t>Wayúu</w:t>
      </w:r>
      <w:proofErr w:type="spellEnd"/>
      <w:r w:rsidR="00BB13E6" w:rsidRPr="00CD4CEA">
        <w:rPr>
          <w:rFonts w:cstheme="minorHAnsi"/>
        </w:rPr>
        <w:t xml:space="preserve"> handbags representing lost ones or concepts of peacebuilding. The bags were</w:t>
      </w:r>
      <w:r w:rsidR="001877CC" w:rsidRPr="00CD4CEA">
        <w:rPr>
          <w:rFonts w:cstheme="minorHAnsi"/>
        </w:rPr>
        <w:t xml:space="preserve"> then</w:t>
      </w:r>
      <w:r w:rsidR="00BB13E6" w:rsidRPr="00CD4CEA">
        <w:rPr>
          <w:rFonts w:cstheme="minorHAnsi"/>
        </w:rPr>
        <w:t xml:space="preserve"> filled with messages, pictures</w:t>
      </w:r>
      <w:r w:rsidR="00AB57C4" w:rsidRPr="00CD4CEA">
        <w:rPr>
          <w:rFonts w:cstheme="minorHAnsi"/>
        </w:rPr>
        <w:t>,</w:t>
      </w:r>
      <w:r w:rsidR="00BB13E6" w:rsidRPr="00CD4CEA">
        <w:rPr>
          <w:rFonts w:cstheme="minorHAnsi"/>
        </w:rPr>
        <w:t xml:space="preserve"> and symbolic representations, </w:t>
      </w:r>
      <w:r w:rsidR="00AB57C4" w:rsidRPr="00CD4CEA">
        <w:rPr>
          <w:rFonts w:cstheme="minorHAnsi"/>
        </w:rPr>
        <w:t xml:space="preserve">and </w:t>
      </w:r>
      <w:r w:rsidR="00BB13E6" w:rsidRPr="00CD4CEA">
        <w:rPr>
          <w:rFonts w:cstheme="minorHAnsi"/>
        </w:rPr>
        <w:t xml:space="preserve">taken from village to village to </w:t>
      </w:r>
      <w:r w:rsidR="00AB57C4" w:rsidRPr="00CD4CEA">
        <w:rPr>
          <w:rFonts w:cstheme="minorHAnsi"/>
        </w:rPr>
        <w:t>create</w:t>
      </w:r>
      <w:r w:rsidR="00BB13E6" w:rsidRPr="00CD4CEA">
        <w:rPr>
          <w:rFonts w:cstheme="minorHAnsi"/>
        </w:rPr>
        <w:t xml:space="preserve"> “sharing moments” </w:t>
      </w:r>
      <w:r w:rsidR="00D55B9B" w:rsidRPr="00CD4CEA">
        <w:rPr>
          <w:rFonts w:cstheme="minorHAnsi"/>
        </w:rPr>
        <w:t xml:space="preserve">where </w:t>
      </w:r>
      <w:r w:rsidR="00BB13E6" w:rsidRPr="00CD4CEA">
        <w:rPr>
          <w:rFonts w:cstheme="minorHAnsi"/>
        </w:rPr>
        <w:t>reading the messages and showing the pictures triggered memories and people started to share</w:t>
      </w:r>
      <w:r w:rsidR="00AB57C4" w:rsidRPr="00CD4CEA">
        <w:rPr>
          <w:rFonts w:cstheme="minorHAnsi"/>
        </w:rPr>
        <w:t xml:space="preserve"> their</w:t>
      </w:r>
      <w:r w:rsidR="00BB13E6" w:rsidRPr="00CD4CEA">
        <w:rPr>
          <w:rFonts w:cstheme="minorHAnsi"/>
        </w:rPr>
        <w:t xml:space="preserve"> stories</w:t>
      </w:r>
      <w:r w:rsidR="00D55B9B" w:rsidRPr="00CD4CEA">
        <w:rPr>
          <w:rFonts w:cstheme="minorHAnsi"/>
        </w:rPr>
        <w:t>. A</w:t>
      </w:r>
      <w:r w:rsidR="00BB13E6" w:rsidRPr="00CD4CEA">
        <w:rPr>
          <w:rFonts w:cstheme="minorHAnsi"/>
        </w:rPr>
        <w:t>t the end of the sessions, the organizers collected testimonies in a portable recorder to share in future meetings, adding to the reconstruction of the social fabric.</w:t>
      </w:r>
      <w:r w:rsidR="00180713">
        <w:rPr>
          <w:rStyle w:val="FootnoteReference"/>
          <w:rFonts w:cstheme="minorHAnsi"/>
        </w:rPr>
        <w:footnoteReference w:id="27"/>
      </w:r>
    </w:p>
    <w:p w14:paraId="1C9E3AD0" w14:textId="77777777" w:rsidR="008E69B6" w:rsidRPr="00CD4CEA" w:rsidRDefault="008E69B6" w:rsidP="008E69B6">
      <w:pPr>
        <w:pStyle w:val="ListParagraph"/>
        <w:rPr>
          <w:rFonts w:cstheme="minorHAnsi"/>
          <w:i/>
        </w:rPr>
      </w:pPr>
    </w:p>
    <w:p w14:paraId="7D430305" w14:textId="5A59AEAC" w:rsidR="00466539" w:rsidRPr="00CD4CEA" w:rsidRDefault="008108C9" w:rsidP="00466539">
      <w:pPr>
        <w:pStyle w:val="ListParagraph"/>
        <w:numPr>
          <w:ilvl w:val="0"/>
          <w:numId w:val="15"/>
        </w:numPr>
        <w:ind w:left="1080"/>
        <w:rPr>
          <w:rFonts w:cstheme="minorHAnsi"/>
          <w:i/>
        </w:rPr>
      </w:pPr>
      <w:r w:rsidRPr="00CD4CEA">
        <w:rPr>
          <w:rFonts w:cstheme="minorHAnsi"/>
          <w:b/>
          <w:i/>
        </w:rPr>
        <w:lastRenderedPageBreak/>
        <w:t>Policy Development</w:t>
      </w:r>
      <w:r w:rsidR="00D1486B" w:rsidRPr="00CD4CEA">
        <w:rPr>
          <w:rFonts w:cstheme="minorHAnsi"/>
          <w:b/>
          <w:i/>
        </w:rPr>
        <w:t xml:space="preserve"> and</w:t>
      </w:r>
      <w:r w:rsidR="006A5CC3" w:rsidRPr="00CD4CEA">
        <w:rPr>
          <w:rFonts w:cstheme="minorHAnsi"/>
          <w:b/>
          <w:i/>
        </w:rPr>
        <w:t xml:space="preserve"> </w:t>
      </w:r>
      <w:r w:rsidRPr="00CD4CEA">
        <w:rPr>
          <w:rFonts w:cstheme="minorHAnsi"/>
          <w:b/>
          <w:i/>
        </w:rPr>
        <w:t xml:space="preserve">Enforcement. </w:t>
      </w:r>
      <w:r w:rsidR="00CA0DAD" w:rsidRPr="00CD4CEA">
        <w:rPr>
          <w:rFonts w:cstheme="minorHAnsi"/>
        </w:rPr>
        <w:t xml:space="preserve">Documentation efforts can also point to policies and laws that could have prevented violations or helped end them sooner. By creating understanding of the context that gave rise to the violations, victims and their advocates can push for new policies to be put in place or the better enforcement of policies and laws that are already on the books.  </w:t>
      </w:r>
    </w:p>
    <w:p w14:paraId="1A381E43" w14:textId="77777777" w:rsidR="007169E4" w:rsidRDefault="007169E4" w:rsidP="007169E4">
      <w:pPr>
        <w:ind w:left="1080"/>
        <w:rPr>
          <w:rFonts w:cstheme="minorHAnsi"/>
        </w:rPr>
      </w:pPr>
    </w:p>
    <w:p w14:paraId="0ED7BF45" w14:textId="3F577BE0" w:rsidR="00832B34" w:rsidRPr="00CD4CEA" w:rsidRDefault="00F54134" w:rsidP="00F17564">
      <w:pPr>
        <w:ind w:left="1080"/>
        <w:rPr>
          <w:rFonts w:cstheme="minorHAnsi"/>
        </w:rPr>
      </w:pPr>
      <w:r>
        <w:rPr>
          <w:rFonts w:cstheme="minorHAnsi"/>
        </w:rPr>
        <w:t>At the governmental level</w:t>
      </w:r>
      <w:r w:rsidR="00466539" w:rsidRPr="00CD4CEA">
        <w:rPr>
          <w:rFonts w:cstheme="minorHAnsi"/>
        </w:rPr>
        <w:t xml:space="preserve">, </w:t>
      </w:r>
      <w:proofErr w:type="spellStart"/>
      <w:r w:rsidR="00466539" w:rsidRPr="00CD4CEA">
        <w:rPr>
          <w:rFonts w:cstheme="minorHAnsi"/>
        </w:rPr>
        <w:t>Airwars</w:t>
      </w:r>
      <w:proofErr w:type="spellEnd"/>
      <w:r w:rsidR="00466539" w:rsidRPr="00CD4CEA">
        <w:rPr>
          <w:rFonts w:cstheme="minorHAnsi"/>
        </w:rPr>
        <w:t xml:space="preserve"> </w:t>
      </w:r>
      <w:r w:rsidR="000A4443" w:rsidRPr="00AD0021">
        <w:rPr>
          <w:rFonts w:cstheme="minorHAnsi"/>
        </w:rPr>
        <w:t>–</w:t>
      </w:r>
      <w:r w:rsidR="00BB13E6" w:rsidRPr="00CD4CEA">
        <w:rPr>
          <w:rFonts w:cstheme="minorHAnsi"/>
        </w:rPr>
        <w:t xml:space="preserve"> a NGO founded in 2014 to document and assess the civilian toll of conflict, with a particular focus on the deaths and injuries caused by airstrikes </w:t>
      </w:r>
      <w:r w:rsidR="00BB13E6" w:rsidRPr="00AD0021">
        <w:rPr>
          <w:rFonts w:cstheme="minorHAnsi"/>
        </w:rPr>
        <w:t>–</w:t>
      </w:r>
      <w:r w:rsidR="00BB13E6" w:rsidRPr="00CD4CEA">
        <w:rPr>
          <w:rFonts w:cstheme="minorHAnsi"/>
        </w:rPr>
        <w:t xml:space="preserve"> </w:t>
      </w:r>
      <w:r w:rsidR="00466539" w:rsidRPr="00CD4CEA">
        <w:rPr>
          <w:rFonts w:cstheme="minorHAnsi"/>
        </w:rPr>
        <w:t xml:space="preserve">has engaged with the US Department of </w:t>
      </w:r>
      <w:proofErr w:type="spellStart"/>
      <w:r w:rsidR="00466539" w:rsidRPr="00CD4CEA">
        <w:rPr>
          <w:rFonts w:cstheme="minorHAnsi"/>
        </w:rPr>
        <w:t>Defense</w:t>
      </w:r>
      <w:proofErr w:type="spellEnd"/>
      <w:r w:rsidR="000A4443" w:rsidRPr="00CD4CEA">
        <w:rPr>
          <w:rFonts w:cstheme="minorHAnsi"/>
        </w:rPr>
        <w:t xml:space="preserve"> (DoD)</w:t>
      </w:r>
      <w:r w:rsidR="00466539" w:rsidRPr="00CD4CEA">
        <w:rPr>
          <w:rFonts w:cstheme="minorHAnsi"/>
        </w:rPr>
        <w:t xml:space="preserve"> over the last eight years to advocate for improved investigations and responses to civilian casualties, based on the granular findings of our casualty documentation efforts. A direct result of this engagement was the publication by the </w:t>
      </w:r>
      <w:r w:rsidR="000A4443" w:rsidRPr="00CD4CEA">
        <w:rPr>
          <w:rFonts w:cstheme="minorHAnsi"/>
        </w:rPr>
        <w:t>DoD</w:t>
      </w:r>
      <w:r w:rsidR="00DF0A03" w:rsidRPr="00CD4CEA">
        <w:rPr>
          <w:rFonts w:cstheme="minorHAnsi"/>
        </w:rPr>
        <w:t xml:space="preserve"> </w:t>
      </w:r>
      <w:r w:rsidR="00466539" w:rsidRPr="00CD4CEA">
        <w:rPr>
          <w:rFonts w:cstheme="minorHAnsi"/>
        </w:rPr>
        <w:t>of a new</w:t>
      </w:r>
      <w:r w:rsidR="00E73D30" w:rsidRPr="00AD0021">
        <w:t xml:space="preserve"> </w:t>
      </w:r>
      <w:r w:rsidR="00466539" w:rsidRPr="00CD4CEA">
        <w:rPr>
          <w:rFonts w:cstheme="minorHAnsi"/>
        </w:rPr>
        <w:t>Civilian Harm Mitigation and Response Action Plan (CHMR-AP)</w:t>
      </w:r>
      <w:r w:rsidR="006B59F4" w:rsidRPr="00CD4CEA">
        <w:rPr>
          <w:rFonts w:cstheme="minorHAnsi"/>
        </w:rPr>
        <w:t xml:space="preserve"> in August 2022</w:t>
      </w:r>
      <w:r w:rsidR="00466539" w:rsidRPr="00CD4CEA">
        <w:rPr>
          <w:rFonts w:cstheme="minorHAnsi"/>
        </w:rPr>
        <w:t>.</w:t>
      </w:r>
      <w:r w:rsidR="00A0549D" w:rsidRPr="00CD4CEA">
        <w:rPr>
          <w:rStyle w:val="FootnoteReference"/>
          <w:rFonts w:cstheme="minorHAnsi"/>
        </w:rPr>
        <w:footnoteReference w:id="28"/>
      </w:r>
      <w:r w:rsidR="00466539" w:rsidRPr="00CD4CEA">
        <w:rPr>
          <w:rFonts w:cstheme="minorHAnsi"/>
        </w:rPr>
        <w:t xml:space="preserve"> This plan lays out actions DoD will take to mitigate and respond to civilian harm in armed conflict, including the creation of new institutions and processes</w:t>
      </w:r>
      <w:r w:rsidR="006B59F4" w:rsidRPr="00CD4CEA">
        <w:rPr>
          <w:rFonts w:cstheme="minorHAnsi"/>
        </w:rPr>
        <w:t>,</w:t>
      </w:r>
      <w:r w:rsidR="00DF0A03" w:rsidRPr="00CD4CEA">
        <w:rPr>
          <w:rFonts w:cstheme="minorHAnsi"/>
        </w:rPr>
        <w:t xml:space="preserve"> </w:t>
      </w:r>
      <w:r w:rsidR="00466539" w:rsidRPr="00CD4CEA">
        <w:rPr>
          <w:rFonts w:cstheme="minorHAnsi"/>
        </w:rPr>
        <w:t>respond</w:t>
      </w:r>
      <w:r w:rsidR="006B59F4" w:rsidRPr="00CD4CEA">
        <w:rPr>
          <w:rFonts w:cstheme="minorHAnsi"/>
        </w:rPr>
        <w:t>ing</w:t>
      </w:r>
      <w:r w:rsidR="00466539" w:rsidRPr="00CD4CEA">
        <w:rPr>
          <w:rFonts w:cstheme="minorHAnsi"/>
        </w:rPr>
        <w:t xml:space="preserve"> directly to many of the</w:t>
      </w:r>
      <w:r w:rsidR="00E73D30" w:rsidRPr="00AD0021">
        <w:t xml:space="preserve"> </w:t>
      </w:r>
      <w:r w:rsidR="00466539" w:rsidRPr="00CD4CEA">
        <w:rPr>
          <w:rFonts w:cstheme="minorHAnsi"/>
        </w:rPr>
        <w:t xml:space="preserve">recommendations made by </w:t>
      </w:r>
      <w:proofErr w:type="spellStart"/>
      <w:r w:rsidR="00466539" w:rsidRPr="00CD4CEA">
        <w:rPr>
          <w:rFonts w:cstheme="minorHAnsi"/>
        </w:rPr>
        <w:t>Airwars</w:t>
      </w:r>
      <w:proofErr w:type="spellEnd"/>
      <w:r w:rsidR="00466539" w:rsidRPr="00CD4CEA">
        <w:rPr>
          <w:rFonts w:cstheme="minorHAnsi"/>
        </w:rPr>
        <w:t xml:space="preserve"> and others.</w:t>
      </w:r>
      <w:r w:rsidR="00A0549D" w:rsidRPr="00CD4CEA">
        <w:rPr>
          <w:rStyle w:val="FootnoteReference"/>
          <w:rFonts w:cstheme="minorHAnsi"/>
        </w:rPr>
        <w:footnoteReference w:id="29"/>
      </w:r>
    </w:p>
    <w:p w14:paraId="3C1F1327" w14:textId="77777777" w:rsidR="007169E4" w:rsidRDefault="007169E4" w:rsidP="000D2E9F">
      <w:pPr>
        <w:ind w:left="1080"/>
        <w:rPr>
          <w:rFonts w:cstheme="minorHAnsi"/>
        </w:rPr>
      </w:pPr>
    </w:p>
    <w:p w14:paraId="05D175A3" w14:textId="75EDBAAA" w:rsidR="000D2E9F" w:rsidRPr="00CD4CEA" w:rsidRDefault="006B59F4" w:rsidP="000D2E9F">
      <w:pPr>
        <w:ind w:left="1080"/>
        <w:rPr>
          <w:rStyle w:val="Strong"/>
          <w:rFonts w:cstheme="minorHAnsi"/>
          <w:b w:val="0"/>
        </w:rPr>
      </w:pPr>
      <w:r w:rsidRPr="00CD4CEA">
        <w:rPr>
          <w:rFonts w:cstheme="minorHAnsi"/>
        </w:rPr>
        <w:t>Another</w:t>
      </w:r>
      <w:r w:rsidR="000D2E9F" w:rsidRPr="00CD4CEA">
        <w:rPr>
          <w:rFonts w:cstheme="minorHAnsi"/>
        </w:rPr>
        <w:t xml:space="preserve"> example</w:t>
      </w:r>
      <w:r w:rsidR="00F54134">
        <w:rPr>
          <w:rFonts w:cstheme="minorHAnsi"/>
        </w:rPr>
        <w:t xml:space="preserve"> on the international level</w:t>
      </w:r>
      <w:r w:rsidR="000D2E9F" w:rsidRPr="00CD4CEA">
        <w:rPr>
          <w:rFonts w:cstheme="minorHAnsi"/>
        </w:rPr>
        <w:t xml:space="preserve"> is the use of information on casualties among education personnel, compiled by organi</w:t>
      </w:r>
      <w:r w:rsidR="004037BB" w:rsidRPr="00CD4CEA">
        <w:rPr>
          <w:rFonts w:cstheme="minorHAnsi"/>
        </w:rPr>
        <w:t>z</w:t>
      </w:r>
      <w:r w:rsidR="000D2E9F" w:rsidRPr="00CD4CEA">
        <w:rPr>
          <w:rFonts w:cstheme="minorHAnsi"/>
        </w:rPr>
        <w:t>ations like Insecurity Insight.</w:t>
      </w:r>
      <w:r w:rsidR="00A0549D" w:rsidRPr="00CD4CEA">
        <w:rPr>
          <w:rStyle w:val="FootnoteReference"/>
          <w:rFonts w:cstheme="minorHAnsi"/>
        </w:rPr>
        <w:footnoteReference w:id="30"/>
      </w:r>
      <w:r w:rsidR="000D2E9F" w:rsidRPr="00CD4CEA">
        <w:rPr>
          <w:rStyle w:val="None"/>
          <w:rFonts w:eastAsia="Calibri" w:cstheme="minorHAnsi"/>
        </w:rPr>
        <w:t xml:space="preserve"> This data has been used by </w:t>
      </w:r>
      <w:r w:rsidR="000D2E9F" w:rsidRPr="00CD4CEA">
        <w:rPr>
          <w:rFonts w:cstheme="minorHAnsi"/>
        </w:rPr>
        <w:t>the Global Coalition to Protect Education from Attack</w:t>
      </w:r>
      <w:r w:rsidR="000D2E9F" w:rsidRPr="00CD4CEA">
        <w:rPr>
          <w:rStyle w:val="Strong"/>
          <w:rFonts w:cstheme="minorHAnsi"/>
          <w:b w:val="0"/>
        </w:rPr>
        <w:t xml:space="preserve"> to advocate internationally for preventive measures and improved accountability</w:t>
      </w:r>
      <w:r w:rsidR="004037BB" w:rsidRPr="00CD4CEA">
        <w:rPr>
          <w:rStyle w:val="Strong"/>
          <w:rFonts w:cstheme="minorHAnsi"/>
          <w:b w:val="0"/>
        </w:rPr>
        <w:t>, leading to the</w:t>
      </w:r>
      <w:r w:rsidR="000D2E9F" w:rsidRPr="00CD4CEA">
        <w:rPr>
          <w:rStyle w:val="Strong"/>
          <w:rFonts w:cstheme="minorHAnsi"/>
          <w:b w:val="0"/>
        </w:rPr>
        <w:t xml:space="preserve"> successful </w:t>
      </w:r>
      <w:r w:rsidR="000D2E9F" w:rsidRPr="00CD4CEA">
        <w:rPr>
          <w:rFonts w:cstheme="minorHAnsi"/>
        </w:rPr>
        <w:t>adoption of the Safe Schools Declaration</w:t>
      </w:r>
      <w:r w:rsidR="000D2E9F" w:rsidRPr="00CD4CEA">
        <w:rPr>
          <w:rStyle w:val="Strong"/>
          <w:rFonts w:cstheme="minorHAnsi"/>
        </w:rPr>
        <w:t>.</w:t>
      </w:r>
      <w:r w:rsidR="00A0549D" w:rsidRPr="00CD4CEA">
        <w:rPr>
          <w:rStyle w:val="FootnoteReference"/>
          <w:rFonts w:cstheme="minorHAnsi"/>
          <w:b/>
          <w:bCs/>
        </w:rPr>
        <w:footnoteReference w:id="31"/>
      </w:r>
    </w:p>
    <w:p w14:paraId="4F9AB133" w14:textId="77777777" w:rsidR="000D2E9F" w:rsidRPr="00CD4CEA" w:rsidRDefault="000D2E9F" w:rsidP="000D2E9F">
      <w:pPr>
        <w:ind w:left="1080"/>
        <w:rPr>
          <w:rFonts w:cstheme="minorHAnsi"/>
        </w:rPr>
      </w:pPr>
    </w:p>
    <w:p w14:paraId="7C8CDA33" w14:textId="367022CA" w:rsidR="00832B34" w:rsidRPr="00CD4CEA" w:rsidRDefault="00A0549D" w:rsidP="00741DAD">
      <w:pPr>
        <w:ind w:left="1080"/>
        <w:rPr>
          <w:rFonts w:cstheme="minorHAnsi"/>
        </w:rPr>
      </w:pPr>
      <w:r w:rsidRPr="00CD4CEA">
        <w:rPr>
          <w:rFonts w:cstheme="minorHAnsi"/>
        </w:rPr>
        <w:t>Based on powerful information collected by civil society organizations, t</w:t>
      </w:r>
      <w:r w:rsidR="00832B34" w:rsidRPr="00CD4CEA">
        <w:rPr>
          <w:rFonts w:cstheme="minorHAnsi"/>
        </w:rPr>
        <w:t xml:space="preserve">he Lawyers for Palestinian Human Rights (LPHR) </w:t>
      </w:r>
      <w:r w:rsidR="00D54CC9" w:rsidRPr="00CD4CEA">
        <w:rPr>
          <w:rFonts w:cstheme="minorHAnsi"/>
        </w:rPr>
        <w:t>used the complaint mechanism set out in</w:t>
      </w:r>
      <w:r w:rsidR="007B7B31">
        <w:rPr>
          <w:rFonts w:cstheme="minorHAnsi"/>
        </w:rPr>
        <w:t xml:space="preserve"> the</w:t>
      </w:r>
      <w:r w:rsidR="00D54CC9" w:rsidRPr="00CD4CEA">
        <w:rPr>
          <w:rFonts w:cstheme="minorHAnsi"/>
        </w:rPr>
        <w:t xml:space="preserve"> OECD Guidelines for Multinational Enterprises to </w:t>
      </w:r>
      <w:r w:rsidR="00832B34" w:rsidRPr="00CD4CEA">
        <w:rPr>
          <w:rFonts w:cstheme="minorHAnsi"/>
        </w:rPr>
        <w:t xml:space="preserve">file against the </w:t>
      </w:r>
      <w:r w:rsidR="00BD10E8" w:rsidRPr="00CD4CEA">
        <w:rPr>
          <w:rFonts w:cstheme="minorHAnsi"/>
        </w:rPr>
        <w:t>British manufacturer</w:t>
      </w:r>
      <w:r w:rsidR="00832B34" w:rsidRPr="00CD4CEA">
        <w:rPr>
          <w:rFonts w:cstheme="minorHAnsi"/>
        </w:rPr>
        <w:t xml:space="preserve"> JCB based on powe</w:t>
      </w:r>
      <w:r w:rsidR="00741DAD" w:rsidRPr="00CD4CEA">
        <w:rPr>
          <w:rFonts w:cstheme="minorHAnsi"/>
        </w:rPr>
        <w:t xml:space="preserve">rful evidence collected by </w:t>
      </w:r>
      <w:r w:rsidR="00BD10E8" w:rsidRPr="00CD4CEA">
        <w:rPr>
          <w:rFonts w:cstheme="minorHAnsi"/>
        </w:rPr>
        <w:t>civil society organizations</w:t>
      </w:r>
      <w:r w:rsidR="00832B34" w:rsidRPr="00CD4CEA">
        <w:rPr>
          <w:rFonts w:cstheme="minorHAnsi"/>
        </w:rPr>
        <w:t>.</w:t>
      </w:r>
      <w:r w:rsidR="00D54CC9" w:rsidRPr="00CD4CEA">
        <w:rPr>
          <w:rStyle w:val="FootnoteReference"/>
          <w:rFonts w:cstheme="minorHAnsi"/>
        </w:rPr>
        <w:footnoteReference w:id="32"/>
      </w:r>
      <w:r w:rsidR="00832B34" w:rsidRPr="00CD4CEA">
        <w:rPr>
          <w:rFonts w:cstheme="minorHAnsi"/>
        </w:rPr>
        <w:t xml:space="preserve"> In its complaint</w:t>
      </w:r>
      <w:r w:rsidR="00D54CC9" w:rsidRPr="00CD4CEA">
        <w:rPr>
          <w:rFonts w:cstheme="minorHAnsi"/>
        </w:rPr>
        <w:t xml:space="preserve"> to the UK National Contact Point for the OECD Guidelines</w:t>
      </w:r>
      <w:r w:rsidR="00832B34" w:rsidRPr="00CD4CEA">
        <w:rPr>
          <w:rFonts w:cstheme="minorHAnsi"/>
        </w:rPr>
        <w:t>, LPHR argued that JCB’s products and construction machinery were used in the demolition of Palestinian properties and settlement-related construction in the West Bank, including East Jerusalem.</w:t>
      </w:r>
      <w:r w:rsidR="00F54134">
        <w:rPr>
          <w:rStyle w:val="FootnoteReference"/>
          <w:rFonts w:cstheme="minorHAnsi"/>
        </w:rPr>
        <w:footnoteReference w:id="33"/>
      </w:r>
      <w:r w:rsidR="00832B34" w:rsidRPr="00CD4CEA">
        <w:rPr>
          <w:rFonts w:cstheme="minorHAnsi"/>
        </w:rPr>
        <w:t xml:space="preserve"> </w:t>
      </w:r>
      <w:r w:rsidR="00D54CC9" w:rsidRPr="00CD4CEA">
        <w:rPr>
          <w:rFonts w:cstheme="minorHAnsi"/>
        </w:rPr>
        <w:t xml:space="preserve">The UK National Contact Point concluded that </w:t>
      </w:r>
      <w:r w:rsidR="00832B34" w:rsidRPr="00CD4CEA">
        <w:rPr>
          <w:rFonts w:cstheme="minorHAnsi"/>
        </w:rPr>
        <w:t>that JCB did not observe the OECD Guidelines by not having a policy commitment to respect human rights and by not carrying out human rights due diligence in its supply chain</w:t>
      </w:r>
      <w:r w:rsidR="00D54CC9" w:rsidRPr="00CD4CEA">
        <w:rPr>
          <w:rFonts w:cstheme="minorHAnsi"/>
        </w:rPr>
        <w:t>.</w:t>
      </w:r>
      <w:r w:rsidR="00F54134">
        <w:rPr>
          <w:rStyle w:val="FootnoteReference"/>
          <w:rFonts w:cstheme="minorHAnsi"/>
        </w:rPr>
        <w:footnoteReference w:id="34"/>
      </w:r>
      <w:r w:rsidR="00D54CC9" w:rsidRPr="00CD4CEA">
        <w:rPr>
          <w:rFonts w:cstheme="minorHAnsi"/>
        </w:rPr>
        <w:t xml:space="preserve"> One year after this conclusion,</w:t>
      </w:r>
      <w:r w:rsidR="00832B34" w:rsidRPr="00CD4CEA">
        <w:rPr>
          <w:rFonts w:cstheme="minorHAnsi"/>
        </w:rPr>
        <w:t xml:space="preserve"> </w:t>
      </w:r>
      <w:r w:rsidR="00D54CC9" w:rsidRPr="00CD4CEA">
        <w:rPr>
          <w:rFonts w:cstheme="minorHAnsi"/>
        </w:rPr>
        <w:t>JCB</w:t>
      </w:r>
      <w:r w:rsidR="00832B34" w:rsidRPr="00CD4CEA">
        <w:rPr>
          <w:rFonts w:cstheme="minorHAnsi"/>
        </w:rPr>
        <w:t xml:space="preserve"> adopted a </w:t>
      </w:r>
      <w:r w:rsidR="00832B34" w:rsidRPr="00CD4CEA">
        <w:rPr>
          <w:rFonts w:cstheme="minorHAnsi"/>
        </w:rPr>
        <w:lastRenderedPageBreak/>
        <w:t>new human rights policy. Whi</w:t>
      </w:r>
      <w:r w:rsidR="007D2BBD" w:rsidRPr="00CD4CEA">
        <w:rPr>
          <w:rFonts w:cstheme="minorHAnsi"/>
        </w:rPr>
        <w:t>le</w:t>
      </w:r>
      <w:r w:rsidR="00832B34" w:rsidRPr="00CD4CEA">
        <w:rPr>
          <w:rFonts w:cstheme="minorHAnsi"/>
        </w:rPr>
        <w:t xml:space="preserve"> </w:t>
      </w:r>
      <w:r w:rsidR="00D54CC9" w:rsidRPr="00CD4CEA">
        <w:rPr>
          <w:rFonts w:cstheme="minorHAnsi"/>
        </w:rPr>
        <w:t>it appears</w:t>
      </w:r>
      <w:r w:rsidR="00832B34" w:rsidRPr="00CD4CEA">
        <w:rPr>
          <w:rFonts w:cstheme="minorHAnsi"/>
        </w:rPr>
        <w:t xml:space="preserve"> to be quite limited in scope, the adoption alone of such a </w:t>
      </w:r>
      <w:r w:rsidR="00D54CC9" w:rsidRPr="00CD4CEA">
        <w:rPr>
          <w:rFonts w:cstheme="minorHAnsi"/>
        </w:rPr>
        <w:t xml:space="preserve">policy </w:t>
      </w:r>
      <w:r w:rsidR="00832B34" w:rsidRPr="00CD4CEA">
        <w:rPr>
          <w:rFonts w:cstheme="minorHAnsi"/>
        </w:rPr>
        <w:t>signals a fi</w:t>
      </w:r>
      <w:r w:rsidR="00741DAD" w:rsidRPr="00CD4CEA">
        <w:rPr>
          <w:rFonts w:cstheme="minorHAnsi"/>
        </w:rPr>
        <w:t xml:space="preserve">rst step in the right direction. </w:t>
      </w:r>
    </w:p>
    <w:p w14:paraId="429BCD37" w14:textId="77777777" w:rsidR="008108C9" w:rsidRPr="00F17564" w:rsidRDefault="008108C9" w:rsidP="009D1B47">
      <w:pPr>
        <w:rPr>
          <w:rFonts w:cstheme="minorHAnsi"/>
        </w:rPr>
      </w:pPr>
    </w:p>
    <w:p w14:paraId="6E1C8607" w14:textId="12F9A4CD" w:rsidR="008108C9" w:rsidRPr="00CD4CEA" w:rsidRDefault="001A45F7" w:rsidP="009D1B47">
      <w:pPr>
        <w:pStyle w:val="ListParagraph"/>
        <w:numPr>
          <w:ilvl w:val="0"/>
          <w:numId w:val="15"/>
        </w:numPr>
        <w:ind w:left="1080"/>
        <w:rPr>
          <w:rFonts w:cstheme="minorHAnsi"/>
          <w:i/>
        </w:rPr>
      </w:pPr>
      <w:r w:rsidRPr="00CD4CEA">
        <w:rPr>
          <w:rFonts w:cstheme="minorHAnsi"/>
          <w:b/>
          <w:i/>
        </w:rPr>
        <w:t>Educating</w:t>
      </w:r>
      <w:r w:rsidR="00643C8A" w:rsidRPr="00CD4CEA">
        <w:rPr>
          <w:rFonts w:cstheme="minorHAnsi"/>
          <w:b/>
          <w:i/>
        </w:rPr>
        <w:t xml:space="preserve"> and History Building</w:t>
      </w:r>
      <w:r w:rsidR="008108C9" w:rsidRPr="00CD4CEA">
        <w:rPr>
          <w:rFonts w:cstheme="minorHAnsi"/>
          <w:b/>
          <w:i/>
        </w:rPr>
        <w:t>.</w:t>
      </w:r>
      <w:r w:rsidRPr="00CD4CEA">
        <w:rPr>
          <w:rFonts w:cstheme="minorHAnsi"/>
          <w:i/>
        </w:rPr>
        <w:t xml:space="preserve"> </w:t>
      </w:r>
      <w:r w:rsidRPr="00CD4CEA">
        <w:rPr>
          <w:rFonts w:cstheme="minorHAnsi"/>
        </w:rPr>
        <w:t>Distinct from raising awareness, this speaks directly to how history is taught. Documentation efforts can help in reframing more inclusive narratives of</w:t>
      </w:r>
      <w:r w:rsidR="004037BB" w:rsidRPr="00CD4CEA">
        <w:rPr>
          <w:rFonts w:cstheme="minorHAnsi"/>
        </w:rPr>
        <w:t xml:space="preserve"> both</w:t>
      </w:r>
      <w:r w:rsidRPr="00CD4CEA">
        <w:rPr>
          <w:rFonts w:cstheme="minorHAnsi"/>
        </w:rPr>
        <w:t xml:space="preserve"> current events </w:t>
      </w:r>
      <w:r w:rsidR="004037BB" w:rsidRPr="00CD4CEA">
        <w:rPr>
          <w:rFonts w:cstheme="minorHAnsi"/>
        </w:rPr>
        <w:t>and</w:t>
      </w:r>
      <w:r w:rsidRPr="00CD4CEA">
        <w:rPr>
          <w:rFonts w:cstheme="minorHAnsi"/>
        </w:rPr>
        <w:t xml:space="preserve"> history by providing books, reports, and online materials </w:t>
      </w:r>
      <w:r w:rsidR="007D2BBD" w:rsidRPr="00CD4CEA">
        <w:rPr>
          <w:rFonts w:cstheme="minorHAnsi"/>
        </w:rPr>
        <w:t xml:space="preserve">that </w:t>
      </w:r>
      <w:r w:rsidRPr="00CD4CEA">
        <w:rPr>
          <w:rFonts w:cstheme="minorHAnsi"/>
        </w:rPr>
        <w:t xml:space="preserve">can be used in classrooms and other educational </w:t>
      </w:r>
      <w:proofErr w:type="spellStart"/>
      <w:r w:rsidRPr="00CD4CEA">
        <w:rPr>
          <w:rFonts w:cstheme="minorHAnsi"/>
        </w:rPr>
        <w:t>centers</w:t>
      </w:r>
      <w:proofErr w:type="spellEnd"/>
      <w:r w:rsidRPr="00CD4CEA">
        <w:rPr>
          <w:rFonts w:cstheme="minorHAnsi"/>
        </w:rPr>
        <w:t xml:space="preserve">. </w:t>
      </w:r>
      <w:r w:rsidR="0000181D" w:rsidRPr="00CD4CEA">
        <w:rPr>
          <w:rFonts w:cstheme="minorHAnsi"/>
          <w:i/>
        </w:rPr>
        <w:t>“</w:t>
      </w:r>
      <w:r w:rsidR="0000181D" w:rsidRPr="00CD4CEA">
        <w:rPr>
          <w:rFonts w:cstheme="minorHAnsi"/>
        </w:rPr>
        <w:t>Education can address inequities and past violence and simultaneously support critical and autonomous thinking about society.”</w:t>
      </w:r>
      <w:r w:rsidR="00CC0FEE" w:rsidRPr="00CD4CEA">
        <w:rPr>
          <w:rStyle w:val="FootnoteReference"/>
          <w:rFonts w:cstheme="minorHAnsi"/>
        </w:rPr>
        <w:footnoteReference w:id="35"/>
      </w:r>
    </w:p>
    <w:p w14:paraId="574EAC95" w14:textId="77777777" w:rsidR="00741DAD" w:rsidRPr="00CD4CEA" w:rsidRDefault="00741DAD" w:rsidP="00741DAD">
      <w:pPr>
        <w:spacing w:line="276" w:lineRule="auto"/>
        <w:rPr>
          <w:rFonts w:cstheme="minorHAnsi"/>
          <w:sz w:val="24"/>
          <w:szCs w:val="24"/>
        </w:rPr>
      </w:pPr>
    </w:p>
    <w:p w14:paraId="003FBBA8" w14:textId="62D83535" w:rsidR="00741DAD" w:rsidRPr="00CD4CEA" w:rsidRDefault="00741DAD" w:rsidP="00741DAD">
      <w:pPr>
        <w:ind w:left="1077"/>
        <w:rPr>
          <w:rFonts w:cstheme="minorHAnsi"/>
        </w:rPr>
      </w:pPr>
      <w:r w:rsidRPr="00CD4CEA">
        <w:rPr>
          <w:rFonts w:cstheme="minorHAnsi"/>
        </w:rPr>
        <w:t>The book</w:t>
      </w:r>
      <w:r w:rsidRPr="00CD4CEA">
        <w:rPr>
          <w:rFonts w:cstheme="minorHAnsi"/>
          <w:i/>
        </w:rPr>
        <w:t xml:space="preserve"> </w:t>
      </w:r>
      <w:r w:rsidRPr="00AD0021">
        <w:rPr>
          <w:rStyle w:val="Hyperlink"/>
          <w:rFonts w:cstheme="minorHAnsi"/>
          <w:i/>
          <w:color w:val="000000" w:themeColor="text1"/>
          <w:u w:val="none"/>
        </w:rPr>
        <w:t>Lost Lives</w:t>
      </w:r>
      <w:r w:rsidRPr="00AD0021">
        <w:rPr>
          <w:rFonts w:cstheme="minorHAnsi"/>
          <w:i/>
          <w:color w:val="000000" w:themeColor="text1"/>
        </w:rPr>
        <w:t xml:space="preserve"> </w:t>
      </w:r>
      <w:r w:rsidRPr="00CD4CEA">
        <w:rPr>
          <w:rFonts w:cstheme="minorHAnsi"/>
        </w:rPr>
        <w:t xml:space="preserve">chronologically documents the circumstances of every violent death </w:t>
      </w:r>
      <w:r w:rsidR="000A7C8A" w:rsidRPr="00CD4CEA">
        <w:rPr>
          <w:rFonts w:cstheme="minorHAnsi"/>
        </w:rPr>
        <w:t>during the 30-plus years of</w:t>
      </w:r>
      <w:r w:rsidRPr="00CD4CEA">
        <w:rPr>
          <w:rFonts w:cstheme="minorHAnsi"/>
        </w:rPr>
        <w:t xml:space="preserve"> the Northern Irish </w:t>
      </w:r>
      <w:r w:rsidR="00E73D30">
        <w:rPr>
          <w:rFonts w:cstheme="minorHAnsi"/>
        </w:rPr>
        <w:t>“</w:t>
      </w:r>
      <w:r w:rsidRPr="00CD4CEA">
        <w:rPr>
          <w:rFonts w:cstheme="minorHAnsi"/>
        </w:rPr>
        <w:t>Troubles</w:t>
      </w:r>
      <w:r w:rsidR="00E73D30">
        <w:rPr>
          <w:rFonts w:cstheme="minorHAnsi"/>
        </w:rPr>
        <w:t>,”</w:t>
      </w:r>
      <w:r w:rsidRPr="00CD4CEA">
        <w:rPr>
          <w:rFonts w:cstheme="minorHAnsi"/>
        </w:rPr>
        <w:t xml:space="preserve"> memoriali</w:t>
      </w:r>
      <w:r w:rsidR="00E73D30">
        <w:rPr>
          <w:rFonts w:cstheme="minorHAnsi"/>
        </w:rPr>
        <w:t>z</w:t>
      </w:r>
      <w:r w:rsidRPr="00CD4CEA">
        <w:rPr>
          <w:rFonts w:cstheme="minorHAnsi"/>
        </w:rPr>
        <w:t>ing</w:t>
      </w:r>
      <w:r w:rsidR="00AD0021">
        <w:rPr>
          <w:rFonts w:cstheme="minorHAnsi"/>
        </w:rPr>
        <w:t xml:space="preserve"> more than</w:t>
      </w:r>
      <w:r w:rsidRPr="00CD4CEA">
        <w:rPr>
          <w:rFonts w:cstheme="minorHAnsi"/>
        </w:rPr>
        <w:t xml:space="preserve"> 3,700 named individuals.</w:t>
      </w:r>
      <w:r w:rsidR="005C1002" w:rsidRPr="00CD4CEA">
        <w:rPr>
          <w:rStyle w:val="FootnoteReference"/>
          <w:rFonts w:cstheme="minorHAnsi"/>
        </w:rPr>
        <w:footnoteReference w:id="36"/>
      </w:r>
      <w:r w:rsidRPr="00CD4CEA">
        <w:rPr>
          <w:rFonts w:cstheme="minorHAnsi"/>
        </w:rPr>
        <w:t xml:space="preserve"> </w:t>
      </w:r>
      <w:r w:rsidR="005B5F78">
        <w:rPr>
          <w:rFonts w:cstheme="minorHAnsi"/>
        </w:rPr>
        <w:t>Regarded as “</w:t>
      </w:r>
      <w:r w:rsidR="005B5F78" w:rsidRPr="00CD4CEA">
        <w:rPr>
          <w:rFonts w:cstheme="minorHAnsi"/>
        </w:rPr>
        <w:t>a monument to the dead and an act of historical recovery simply because it recorded all the deaths without judgement</w:t>
      </w:r>
      <w:r w:rsidR="005B5F78">
        <w:rPr>
          <w:rFonts w:cstheme="minorHAnsi"/>
        </w:rPr>
        <w:t>,”</w:t>
      </w:r>
      <w:r w:rsidR="005B5F78" w:rsidRPr="00CD4CEA">
        <w:rPr>
          <w:rFonts w:cstheme="minorHAnsi"/>
        </w:rPr>
        <w:t xml:space="preserve"> </w:t>
      </w:r>
      <w:r w:rsidR="005B5F78">
        <w:rPr>
          <w:rFonts w:cstheme="minorHAnsi"/>
        </w:rPr>
        <w:t>a church in Dublin has read the list of names every Easter weekend for at least 14 years as an act of commemoration.</w:t>
      </w:r>
      <w:r w:rsidR="005B5F78" w:rsidRPr="00CD4CEA">
        <w:rPr>
          <w:rStyle w:val="FootnoteReference"/>
          <w:rFonts w:cstheme="minorHAnsi"/>
        </w:rPr>
        <w:footnoteReference w:id="37"/>
      </w:r>
      <w:r w:rsidRPr="00CD4CEA">
        <w:rPr>
          <w:rFonts w:cstheme="minorHAnsi"/>
        </w:rPr>
        <w:t xml:space="preserve"> The Irish government and Northern Ireland Executive have discussed buying the rights to the book and making it freely available online as an all-island, cross-party initiative to deal with Northern Ireland’s legacy of violence.</w:t>
      </w:r>
      <w:r w:rsidR="005C1002" w:rsidRPr="00CD4CEA">
        <w:rPr>
          <w:rStyle w:val="FootnoteReference"/>
          <w:rFonts w:cstheme="minorHAnsi"/>
        </w:rPr>
        <w:footnoteReference w:id="38"/>
      </w:r>
      <w:r w:rsidRPr="00CD4CEA">
        <w:rPr>
          <w:rFonts w:cstheme="minorHAnsi"/>
        </w:rPr>
        <w:t xml:space="preserve"> Victims and survivor groups have advocated for the book to be made freely available in schools and libraries.</w:t>
      </w:r>
      <w:r w:rsidR="005C1002" w:rsidRPr="00CD4CEA">
        <w:rPr>
          <w:rStyle w:val="FootnoteReference"/>
          <w:rFonts w:cstheme="minorHAnsi"/>
        </w:rPr>
        <w:footnoteReference w:id="39"/>
      </w:r>
    </w:p>
    <w:p w14:paraId="6447AFB5" w14:textId="77777777" w:rsidR="005B5F78" w:rsidRDefault="005B5F78" w:rsidP="00741DAD">
      <w:pPr>
        <w:ind w:left="1077"/>
        <w:rPr>
          <w:rFonts w:cstheme="minorHAnsi"/>
        </w:rPr>
      </w:pPr>
    </w:p>
    <w:p w14:paraId="7ADBAF82" w14:textId="7E593F75" w:rsidR="00C3705C" w:rsidRPr="00CD4CEA" w:rsidRDefault="00C3705C" w:rsidP="00741DAD">
      <w:pPr>
        <w:ind w:left="1077"/>
        <w:rPr>
          <w:rFonts w:cstheme="minorHAnsi"/>
        </w:rPr>
      </w:pPr>
      <w:r>
        <w:rPr>
          <w:rFonts w:cstheme="minorHAnsi"/>
        </w:rPr>
        <w:t xml:space="preserve">To ensure the memory of and educate the public about human rights abuses of past authoritarian regimes, an alliance of Argentinian human rights organizations formed Memoria </w:t>
      </w:r>
      <w:proofErr w:type="spellStart"/>
      <w:r>
        <w:rPr>
          <w:rFonts w:cstheme="minorHAnsi"/>
        </w:rPr>
        <w:t>Abierta</w:t>
      </w:r>
      <w:proofErr w:type="spellEnd"/>
      <w:r>
        <w:rPr>
          <w:rFonts w:cstheme="minorHAnsi"/>
        </w:rPr>
        <w:t xml:space="preserve">. </w:t>
      </w:r>
      <w:r w:rsidR="00F17564">
        <w:rPr>
          <w:rFonts w:cstheme="minorHAnsi"/>
        </w:rPr>
        <w:t>This alliance</w:t>
      </w:r>
      <w:r w:rsidR="00326728">
        <w:rPr>
          <w:rFonts w:cstheme="minorHAnsi"/>
        </w:rPr>
        <w:t xml:space="preserve"> is an ongoing effort that</w:t>
      </w:r>
      <w:r>
        <w:rPr>
          <w:rFonts w:cstheme="minorHAnsi"/>
        </w:rPr>
        <w:t xml:space="preserve"> builds accessible archives; collects oral histories; maps detention and torture sites; and organizes trainings, workshops, and public events with the aim of building out tools to remember the immediate past and reflect on the present.</w:t>
      </w:r>
      <w:r>
        <w:rPr>
          <w:rStyle w:val="FootnoteReference"/>
          <w:rFonts w:cstheme="minorHAnsi"/>
        </w:rPr>
        <w:footnoteReference w:id="40"/>
      </w:r>
      <w:r>
        <w:rPr>
          <w:rFonts w:cstheme="minorHAnsi"/>
        </w:rPr>
        <w:t xml:space="preserve"> </w:t>
      </w:r>
    </w:p>
    <w:p w14:paraId="55F74BAF" w14:textId="77777777" w:rsidR="00643C8A" w:rsidRPr="00CD4CEA" w:rsidRDefault="00643C8A" w:rsidP="009B5346">
      <w:pPr>
        <w:rPr>
          <w:rFonts w:cstheme="minorHAnsi"/>
        </w:rPr>
      </w:pPr>
    </w:p>
    <w:p w14:paraId="225FB9C0" w14:textId="40E46E54" w:rsidR="00FB40FE" w:rsidRPr="00FB40FE" w:rsidRDefault="00643C8A" w:rsidP="009D1B47">
      <w:pPr>
        <w:pStyle w:val="ListParagraph"/>
        <w:numPr>
          <w:ilvl w:val="0"/>
          <w:numId w:val="15"/>
        </w:numPr>
        <w:ind w:left="1080"/>
        <w:rPr>
          <w:rFonts w:cstheme="minorHAnsi"/>
          <w:b/>
          <w:i/>
        </w:rPr>
      </w:pPr>
      <w:r w:rsidRPr="00CD4CEA">
        <w:rPr>
          <w:rFonts w:cstheme="minorHAnsi"/>
          <w:b/>
          <w:i/>
        </w:rPr>
        <w:t>Naming and Shaming.</w:t>
      </w:r>
      <w:r w:rsidR="002B41CA" w:rsidRPr="00CD4CEA">
        <w:rPr>
          <w:rFonts w:cstheme="minorHAnsi"/>
          <w:b/>
          <w:i/>
        </w:rPr>
        <w:t xml:space="preserve"> </w:t>
      </w:r>
      <w:r w:rsidR="00451068" w:rsidRPr="00CD4CEA">
        <w:rPr>
          <w:rFonts w:cstheme="minorHAnsi"/>
        </w:rPr>
        <w:t xml:space="preserve">Governments, civil society organizations, journalists, international organizations and others seek to highlight human rights violations with the hopes of shifting perpetrator </w:t>
      </w:r>
      <w:proofErr w:type="spellStart"/>
      <w:r w:rsidR="00451068" w:rsidRPr="00CD4CEA">
        <w:rPr>
          <w:rFonts w:cstheme="minorHAnsi"/>
        </w:rPr>
        <w:t>behavior</w:t>
      </w:r>
      <w:proofErr w:type="spellEnd"/>
      <w:r w:rsidR="00451068" w:rsidRPr="00CD4CEA">
        <w:rPr>
          <w:rFonts w:cstheme="minorHAnsi"/>
        </w:rPr>
        <w:t xml:space="preserve"> and stopping abuses, commonly refe</w:t>
      </w:r>
      <w:r w:rsidR="00C56D89">
        <w:rPr>
          <w:rFonts w:cstheme="minorHAnsi"/>
        </w:rPr>
        <w:t xml:space="preserve">rred to as naming and shaming. To have the biggest impact, naming and shaming needs to be done by a group that has influence or sway over the person or group being named and shamed. Sometimes this can happen through what is known as the “CNN Effect,” where publicizing the issue leads to action. </w:t>
      </w:r>
      <w:r w:rsidR="00F17564">
        <w:rPr>
          <w:rFonts w:cstheme="minorHAnsi"/>
        </w:rPr>
        <w:t xml:space="preserve">BBC Chief International Correspondent </w:t>
      </w:r>
      <w:r w:rsidR="00C56D89">
        <w:rPr>
          <w:rFonts w:cstheme="minorHAnsi"/>
        </w:rPr>
        <w:t xml:space="preserve">Lyse </w:t>
      </w:r>
      <w:proofErr w:type="spellStart"/>
      <w:r w:rsidR="00C56D89">
        <w:rPr>
          <w:rFonts w:cstheme="minorHAnsi"/>
        </w:rPr>
        <w:t>Doucet</w:t>
      </w:r>
      <w:proofErr w:type="spellEnd"/>
      <w:r w:rsidR="00C56D89">
        <w:rPr>
          <w:rFonts w:cstheme="minorHAnsi"/>
        </w:rPr>
        <w:t xml:space="preserve"> has noted that the CNN Effect worked to some</w:t>
      </w:r>
      <w:r w:rsidR="0072451F">
        <w:rPr>
          <w:rFonts w:cstheme="minorHAnsi"/>
        </w:rPr>
        <w:t xml:space="preserve"> extent to keep Syria on the agenda for </w:t>
      </w:r>
      <w:r w:rsidR="00C56D89">
        <w:rPr>
          <w:rFonts w:cstheme="minorHAnsi"/>
        </w:rPr>
        <w:lastRenderedPageBreak/>
        <w:t xml:space="preserve">the US </w:t>
      </w:r>
      <w:r w:rsidR="0072451F">
        <w:rPr>
          <w:rFonts w:cstheme="minorHAnsi"/>
        </w:rPr>
        <w:t>administrations of both Presidents Obama and Trump.</w:t>
      </w:r>
      <w:r w:rsidR="0072451F">
        <w:rPr>
          <w:rStyle w:val="FootnoteReference"/>
          <w:rFonts w:cstheme="minorHAnsi"/>
        </w:rPr>
        <w:footnoteReference w:id="41"/>
      </w:r>
      <w:r w:rsidR="0072451F">
        <w:rPr>
          <w:rFonts w:cstheme="minorHAnsi"/>
        </w:rPr>
        <w:t xml:space="preserve"> There is also some evidence that naming and shaming by human rights organizations can increase the likelihood of humanitarian interventions, preventing further violations.</w:t>
      </w:r>
      <w:r w:rsidR="0072451F">
        <w:rPr>
          <w:rStyle w:val="FootnoteReference"/>
          <w:rFonts w:cstheme="minorHAnsi"/>
        </w:rPr>
        <w:footnoteReference w:id="42"/>
      </w:r>
      <w:r w:rsidR="0072451F">
        <w:rPr>
          <w:rFonts w:cstheme="minorHAnsi"/>
        </w:rPr>
        <w:t xml:space="preserve"> </w:t>
      </w:r>
      <w:r w:rsidR="00FB40FE">
        <w:rPr>
          <w:rFonts w:cstheme="minorHAnsi"/>
        </w:rPr>
        <w:t>However, there is also evidence that violations can increase in the immediate aftermath of such publicity.</w:t>
      </w:r>
      <w:r w:rsidR="00FB40FE" w:rsidRPr="00FB40FE">
        <w:rPr>
          <w:rStyle w:val="FootnoteReference"/>
          <w:rFonts w:cstheme="minorHAnsi"/>
        </w:rPr>
        <w:t xml:space="preserve"> </w:t>
      </w:r>
      <w:r w:rsidR="00FB40FE" w:rsidRPr="00CD4CEA">
        <w:rPr>
          <w:rStyle w:val="FootnoteReference"/>
          <w:rFonts w:cstheme="minorHAnsi"/>
        </w:rPr>
        <w:footnoteReference w:id="43"/>
      </w:r>
    </w:p>
    <w:p w14:paraId="547A2EF8" w14:textId="77777777" w:rsidR="00FB40FE" w:rsidRPr="00F17564" w:rsidRDefault="00FB40FE" w:rsidP="00FB40FE">
      <w:pPr>
        <w:pStyle w:val="ListParagraph"/>
        <w:ind w:left="1080"/>
        <w:rPr>
          <w:rFonts w:cstheme="minorHAnsi"/>
        </w:rPr>
      </w:pPr>
    </w:p>
    <w:p w14:paraId="0B1F4C6C" w14:textId="3E83DA8B" w:rsidR="00643C8A" w:rsidRPr="00CD4CEA" w:rsidRDefault="00FB40FE" w:rsidP="00FB40FE">
      <w:pPr>
        <w:pStyle w:val="ListParagraph"/>
        <w:ind w:left="1080"/>
        <w:rPr>
          <w:rFonts w:cstheme="minorHAnsi"/>
          <w:b/>
          <w:i/>
        </w:rPr>
      </w:pPr>
      <w:r>
        <w:rPr>
          <w:rFonts w:cstheme="minorHAnsi"/>
        </w:rPr>
        <w:t xml:space="preserve">When publicity and NGO shaming do not hold sway, tactics can and should shift to find </w:t>
      </w:r>
      <w:r w:rsidR="00F17564">
        <w:rPr>
          <w:rFonts w:cstheme="minorHAnsi"/>
        </w:rPr>
        <w:t xml:space="preserve">and </w:t>
      </w:r>
      <w:r>
        <w:rPr>
          <w:rFonts w:cstheme="minorHAnsi"/>
        </w:rPr>
        <w:t xml:space="preserve">understand what influence might yield a positive effect. </w:t>
      </w:r>
      <w:r w:rsidR="00E55DA8" w:rsidRPr="00CD4CEA">
        <w:rPr>
          <w:rFonts w:cstheme="minorHAnsi"/>
        </w:rPr>
        <w:t xml:space="preserve">Recent research suggests that </w:t>
      </w:r>
      <w:r w:rsidR="00E55DA8" w:rsidRPr="00CD4CEA">
        <w:rPr>
          <w:rFonts w:cstheme="minorHAnsi"/>
          <w:i/>
        </w:rPr>
        <w:t xml:space="preserve">who </w:t>
      </w:r>
      <w:r w:rsidR="00E55DA8" w:rsidRPr="00CD4CEA">
        <w:rPr>
          <w:rFonts w:cstheme="minorHAnsi"/>
        </w:rPr>
        <w:t>is doing the naming and shaming also matters, suggesting that it isn’t just the publicity alone that triggers changes.</w:t>
      </w:r>
      <w:r w:rsidR="00E55DA8" w:rsidRPr="00CD4CEA">
        <w:rPr>
          <w:rStyle w:val="FootnoteReference"/>
          <w:rFonts w:cstheme="minorHAnsi"/>
        </w:rPr>
        <w:footnoteReference w:id="44"/>
      </w:r>
      <w:r w:rsidR="00E55DA8" w:rsidRPr="00CD4CEA">
        <w:rPr>
          <w:rFonts w:cstheme="minorHAnsi"/>
        </w:rPr>
        <w:t xml:space="preserve"> </w:t>
      </w:r>
      <w:r>
        <w:rPr>
          <w:rFonts w:cstheme="minorHAnsi"/>
        </w:rPr>
        <w:t xml:space="preserve">To understand who may hold influence, network mapping is particularly useful and can help to illuminate connections that may </w:t>
      </w:r>
      <w:r w:rsidR="00080A89">
        <w:rPr>
          <w:rFonts w:cstheme="minorHAnsi"/>
        </w:rPr>
        <w:t xml:space="preserve">not </w:t>
      </w:r>
      <w:r>
        <w:rPr>
          <w:rFonts w:cstheme="minorHAnsi"/>
        </w:rPr>
        <w:t>have be</w:t>
      </w:r>
      <w:r w:rsidR="00080A89">
        <w:rPr>
          <w:rFonts w:cstheme="minorHAnsi"/>
        </w:rPr>
        <w:t>en</w:t>
      </w:r>
      <w:r>
        <w:rPr>
          <w:rFonts w:cstheme="minorHAnsi"/>
        </w:rPr>
        <w:t xml:space="preserve"> obvious at first. Network mapping </w:t>
      </w:r>
      <w:r w:rsidR="00F17564">
        <w:rPr>
          <w:rFonts w:cstheme="minorHAnsi"/>
        </w:rPr>
        <w:t xml:space="preserve">can </w:t>
      </w:r>
      <w:r>
        <w:rPr>
          <w:rFonts w:cstheme="minorHAnsi"/>
        </w:rPr>
        <w:t xml:space="preserve">also highlight other individuals or groups that could yield to the pressure of a naming and shaming campaign.  </w:t>
      </w:r>
    </w:p>
    <w:p w14:paraId="4AC38886" w14:textId="77777777" w:rsidR="00643C8A" w:rsidRPr="00CD4CEA" w:rsidRDefault="00643C8A" w:rsidP="00643C8A">
      <w:pPr>
        <w:pStyle w:val="ListParagraph"/>
        <w:rPr>
          <w:rFonts w:cstheme="minorHAnsi"/>
        </w:rPr>
      </w:pPr>
    </w:p>
    <w:p w14:paraId="4A596CD9" w14:textId="2E952B1B" w:rsidR="001518BD" w:rsidRPr="00CD4CEA" w:rsidRDefault="00BB09A1" w:rsidP="00036938">
      <w:pPr>
        <w:pStyle w:val="ListParagraph"/>
        <w:numPr>
          <w:ilvl w:val="0"/>
          <w:numId w:val="15"/>
        </w:numPr>
        <w:ind w:left="1080"/>
        <w:rPr>
          <w:rFonts w:cstheme="minorHAnsi"/>
          <w:b/>
        </w:rPr>
      </w:pPr>
      <w:r w:rsidRPr="00CD4CEA">
        <w:rPr>
          <w:rFonts w:cstheme="minorHAnsi"/>
          <w:b/>
          <w:i/>
        </w:rPr>
        <w:t>Restitution</w:t>
      </w:r>
      <w:r w:rsidR="00D1486B" w:rsidRPr="00CD4CEA">
        <w:rPr>
          <w:rFonts w:cstheme="minorHAnsi"/>
          <w:b/>
          <w:i/>
        </w:rPr>
        <w:t xml:space="preserve"> and</w:t>
      </w:r>
      <w:r w:rsidR="00DF0A03" w:rsidRPr="00CD4CEA">
        <w:rPr>
          <w:rFonts w:cstheme="minorHAnsi"/>
          <w:b/>
          <w:i/>
        </w:rPr>
        <w:t xml:space="preserve"> </w:t>
      </w:r>
      <w:r w:rsidRPr="00CD4CEA">
        <w:rPr>
          <w:rFonts w:cstheme="minorHAnsi"/>
          <w:b/>
          <w:i/>
        </w:rPr>
        <w:t xml:space="preserve">Damages. </w:t>
      </w:r>
      <w:r w:rsidR="00036938" w:rsidRPr="00CD4CEA">
        <w:rPr>
          <w:rFonts w:cstheme="minorHAnsi"/>
        </w:rPr>
        <w:t xml:space="preserve">Beyond criminal prosecutions, human rights documentation can play a role in court cases that seek monetary compensation for victims where legal structures allow. For example, </w:t>
      </w:r>
      <w:r w:rsidR="00CB12E6" w:rsidRPr="00CD4CEA">
        <w:rPr>
          <w:rFonts w:cstheme="minorHAnsi"/>
        </w:rPr>
        <w:t xml:space="preserve">event reconstruction and analysis by </w:t>
      </w:r>
      <w:r w:rsidR="004037BB" w:rsidRPr="00CD4CEA">
        <w:rPr>
          <w:rFonts w:cstheme="minorHAnsi"/>
        </w:rPr>
        <w:t xml:space="preserve">the social impact architecture and design practice </w:t>
      </w:r>
      <w:r w:rsidR="001518BD" w:rsidRPr="00CD4CEA">
        <w:rPr>
          <w:rFonts w:cstheme="minorHAnsi"/>
          <w:color w:val="000000"/>
        </w:rPr>
        <w:t>SITU Research</w:t>
      </w:r>
      <w:r w:rsidR="00CB12E6" w:rsidRPr="00CD4CEA">
        <w:rPr>
          <w:rFonts w:cstheme="minorHAnsi"/>
          <w:color w:val="000000"/>
        </w:rPr>
        <w:t xml:space="preserve"> was recently used in a </w:t>
      </w:r>
      <w:r w:rsidR="00CB12E6" w:rsidRPr="00CD4CEA">
        <w:rPr>
          <w:rFonts w:cstheme="minorHAnsi"/>
        </w:rPr>
        <w:t xml:space="preserve">class action lawsuit </w:t>
      </w:r>
      <w:r w:rsidR="00CB12E6" w:rsidRPr="00CD4CEA">
        <w:rPr>
          <w:rFonts w:cstheme="minorHAnsi"/>
          <w:color w:val="000000"/>
        </w:rPr>
        <w:t>for the Mott Haven, NY, protest on June 4, 2020, which culminated in one of the highest per-person settlements a</w:t>
      </w:r>
      <w:r w:rsidR="005C1002" w:rsidRPr="00CD4CEA">
        <w:rPr>
          <w:rFonts w:cstheme="minorHAnsi"/>
          <w:color w:val="000000"/>
        </w:rPr>
        <w:t>warded in a case of mass demonstration protests</w:t>
      </w:r>
      <w:r w:rsidR="00CB12E6" w:rsidRPr="00CD4CEA">
        <w:rPr>
          <w:rFonts w:cstheme="minorHAnsi"/>
          <w:color w:val="000000"/>
        </w:rPr>
        <w:t xml:space="preserve"> in the United States</w:t>
      </w:r>
      <w:r w:rsidR="0003402D" w:rsidRPr="00CD4CEA">
        <w:rPr>
          <w:rFonts w:cstheme="minorHAnsi"/>
          <w:color w:val="000000"/>
        </w:rPr>
        <w:t>:</w:t>
      </w:r>
      <w:r w:rsidR="00CB12E6" w:rsidRPr="00CD4CEA">
        <w:rPr>
          <w:rFonts w:cstheme="minorHAnsi"/>
          <w:color w:val="000000"/>
        </w:rPr>
        <w:t xml:space="preserve"> the settlement provides </w:t>
      </w:r>
      <w:r w:rsidR="00AD0021">
        <w:rPr>
          <w:rFonts w:cstheme="minorHAnsi"/>
          <w:color w:val="000000"/>
        </w:rPr>
        <w:t>more than</w:t>
      </w:r>
      <w:r w:rsidR="00AD0021" w:rsidRPr="00CD4CEA">
        <w:rPr>
          <w:rFonts w:cstheme="minorHAnsi"/>
          <w:color w:val="000000"/>
        </w:rPr>
        <w:t xml:space="preserve"> </w:t>
      </w:r>
      <w:r w:rsidR="00CB12E6" w:rsidRPr="00CD4CEA">
        <w:rPr>
          <w:rFonts w:cstheme="minorHAnsi"/>
          <w:color w:val="000000"/>
        </w:rPr>
        <w:t>300 protesters with $21,500 each.</w:t>
      </w:r>
      <w:r w:rsidR="005C1002" w:rsidRPr="00CD4CEA">
        <w:rPr>
          <w:rStyle w:val="FootnoteReference"/>
          <w:rFonts w:cstheme="minorHAnsi"/>
          <w:color w:val="000000"/>
        </w:rPr>
        <w:footnoteReference w:id="45"/>
      </w:r>
      <w:r w:rsidR="001518BD" w:rsidRPr="00CD4CEA">
        <w:rPr>
          <w:rFonts w:cstheme="minorHAnsi"/>
          <w:color w:val="000000"/>
        </w:rPr>
        <w:t xml:space="preserve"> </w:t>
      </w:r>
      <w:r w:rsidR="00CB12E6" w:rsidRPr="00CD4CEA">
        <w:rPr>
          <w:rFonts w:cstheme="minorHAnsi"/>
          <w:color w:val="000000"/>
        </w:rPr>
        <w:t xml:space="preserve">Building on this result, </w:t>
      </w:r>
      <w:r w:rsidR="00DF0A03" w:rsidRPr="00CD4CEA">
        <w:rPr>
          <w:rFonts w:cstheme="minorHAnsi"/>
          <w:color w:val="000000"/>
        </w:rPr>
        <w:t xml:space="preserve">SITU Research was approached last </w:t>
      </w:r>
      <w:r w:rsidR="00DF0A03" w:rsidRPr="0056279A">
        <w:rPr>
          <w:rFonts w:cstheme="minorHAnsi"/>
        </w:rPr>
        <w:t xml:space="preserve">year by a consortium of attorneys from the National Lawyers Guild (NLG) – who formed the </w:t>
      </w:r>
      <w:r w:rsidR="00DF0A03" w:rsidRPr="0056279A">
        <w:rPr>
          <w:rFonts w:eastAsia="Times New Roman" w:cstheme="minorHAnsi"/>
          <w:shd w:val="clear" w:color="auto" w:fill="FFFFFF"/>
          <w:lang w:val="en-US"/>
        </w:rPr>
        <w:t>NLG-NYC Floyd/BLM Civil Litigation Taskforce</w:t>
      </w:r>
      <w:r w:rsidR="00DF0A03" w:rsidRPr="0056279A" w:rsidDel="004037BB">
        <w:rPr>
          <w:rFonts w:cstheme="minorHAnsi"/>
        </w:rPr>
        <w:t xml:space="preserve"> </w:t>
      </w:r>
      <w:r w:rsidR="00DF0A03" w:rsidRPr="0056279A">
        <w:rPr>
          <w:rFonts w:cstheme="minorHAnsi"/>
        </w:rPr>
        <w:t xml:space="preserve">– to support their case, which claims violations of the US and New York state constitutions, including unlawful seizure, false arrest, </w:t>
      </w:r>
      <w:r w:rsidR="00DF0A03" w:rsidRPr="00CD4CEA">
        <w:rPr>
          <w:rFonts w:cstheme="minorHAnsi"/>
          <w:color w:val="000000"/>
        </w:rPr>
        <w:t>and excessive use of force of nearly 3,500 people in over 80 locations. In support of this case, SITU</w:t>
      </w:r>
      <w:r w:rsidR="001518BD" w:rsidRPr="00CD4CEA">
        <w:rPr>
          <w:rFonts w:cstheme="minorHAnsi"/>
          <w:color w:val="000000"/>
        </w:rPr>
        <w:t xml:space="preserve"> </w:t>
      </w:r>
      <w:r w:rsidR="00DF0A03" w:rsidRPr="00CD4CEA">
        <w:rPr>
          <w:rFonts w:cstheme="minorHAnsi"/>
          <w:color w:val="000000"/>
        </w:rPr>
        <w:t xml:space="preserve">has </w:t>
      </w:r>
      <w:proofErr w:type="spellStart"/>
      <w:r w:rsidR="001518BD" w:rsidRPr="00CD4CEA">
        <w:rPr>
          <w:rFonts w:cstheme="minorHAnsi"/>
          <w:color w:val="000000"/>
        </w:rPr>
        <w:t>analy</w:t>
      </w:r>
      <w:r w:rsidR="004037BB" w:rsidRPr="00CD4CEA">
        <w:rPr>
          <w:rFonts w:cstheme="minorHAnsi"/>
          <w:color w:val="000000"/>
        </w:rPr>
        <w:t>zed</w:t>
      </w:r>
      <w:proofErr w:type="spellEnd"/>
      <w:r w:rsidR="001518BD" w:rsidRPr="00CD4CEA">
        <w:rPr>
          <w:rFonts w:cstheme="minorHAnsi"/>
          <w:color w:val="000000"/>
        </w:rPr>
        <w:t xml:space="preserve"> open- and closed-source information in support of a soon-to-be</w:t>
      </w:r>
      <w:r w:rsidR="0003402D" w:rsidRPr="00CD4CEA">
        <w:rPr>
          <w:rFonts w:cstheme="minorHAnsi"/>
          <w:color w:val="000000"/>
        </w:rPr>
        <w:t>-</w:t>
      </w:r>
      <w:r w:rsidR="001518BD" w:rsidRPr="00CD4CEA">
        <w:rPr>
          <w:rFonts w:cstheme="minorHAnsi"/>
          <w:color w:val="000000"/>
        </w:rPr>
        <w:t>filed class action civil rights lawsuit against the City of New York (</w:t>
      </w:r>
      <w:r w:rsidR="001518BD" w:rsidRPr="00CD4CEA">
        <w:rPr>
          <w:rFonts w:cstheme="minorHAnsi"/>
          <w:iCs/>
          <w:color w:val="000000"/>
        </w:rPr>
        <w:t>Sow v. City of New York</w:t>
      </w:r>
      <w:r w:rsidR="001518BD" w:rsidRPr="00CD4CEA">
        <w:rPr>
          <w:rFonts w:cstheme="minorHAnsi"/>
          <w:color w:val="000000"/>
        </w:rPr>
        <w:t>) following a series of heavily policed protests during the 2020 Black Lives Matter movement in New York City.</w:t>
      </w:r>
    </w:p>
    <w:p w14:paraId="77F8309E" w14:textId="77777777" w:rsidR="00BB09A1" w:rsidRPr="00CD4CEA" w:rsidRDefault="00BB09A1" w:rsidP="001518BD">
      <w:pPr>
        <w:rPr>
          <w:rFonts w:cstheme="minorHAnsi"/>
        </w:rPr>
      </w:pPr>
    </w:p>
    <w:p w14:paraId="076E283F" w14:textId="6363E4C1" w:rsidR="00490DCB" w:rsidRPr="00CD4CEA" w:rsidRDefault="008108C9" w:rsidP="009D1B47">
      <w:pPr>
        <w:pStyle w:val="ListParagraph"/>
        <w:numPr>
          <w:ilvl w:val="0"/>
          <w:numId w:val="15"/>
        </w:numPr>
        <w:ind w:left="1080"/>
        <w:rPr>
          <w:rFonts w:cstheme="minorHAnsi"/>
          <w:i/>
        </w:rPr>
      </w:pPr>
      <w:r w:rsidRPr="00CD4CEA">
        <w:rPr>
          <w:rFonts w:cstheme="minorHAnsi"/>
          <w:b/>
          <w:i/>
        </w:rPr>
        <w:t>Memorializing.</w:t>
      </w:r>
      <w:r w:rsidR="001A45F7" w:rsidRPr="00CD4CEA">
        <w:rPr>
          <w:rFonts w:cstheme="minorHAnsi"/>
          <w:i/>
        </w:rPr>
        <w:t xml:space="preserve"> </w:t>
      </w:r>
      <w:r w:rsidR="001A45F7" w:rsidRPr="00CD4CEA">
        <w:rPr>
          <w:rFonts w:cstheme="minorHAnsi"/>
        </w:rPr>
        <w:t xml:space="preserve">The convergence of art and history has led to the creation of powerful monuments dedicated to </w:t>
      </w:r>
      <w:r w:rsidR="003C1088" w:rsidRPr="00CD4CEA">
        <w:rPr>
          <w:rFonts w:cstheme="minorHAnsi"/>
        </w:rPr>
        <w:t xml:space="preserve">preserving </w:t>
      </w:r>
      <w:r w:rsidR="001A45F7" w:rsidRPr="00CD4CEA">
        <w:rPr>
          <w:rFonts w:cstheme="minorHAnsi"/>
        </w:rPr>
        <w:t>the memory of atrocities.</w:t>
      </w:r>
      <w:r w:rsidR="003C1088" w:rsidRPr="00CD4CEA">
        <w:rPr>
          <w:rFonts w:cstheme="minorHAnsi"/>
        </w:rPr>
        <w:t xml:space="preserve"> These can be in physical or in online spaces. Documentation efforts are able to provide curators, artists, and historians with the names of victims, physical </w:t>
      </w:r>
      <w:proofErr w:type="spellStart"/>
      <w:r w:rsidR="00D17195" w:rsidRPr="00CD4CEA">
        <w:rPr>
          <w:rFonts w:cstheme="minorHAnsi"/>
        </w:rPr>
        <w:t>art</w:t>
      </w:r>
      <w:r w:rsidR="00D17195">
        <w:rPr>
          <w:rFonts w:cstheme="minorHAnsi"/>
        </w:rPr>
        <w:t>i</w:t>
      </w:r>
      <w:r w:rsidR="00D17195" w:rsidRPr="00CD4CEA">
        <w:rPr>
          <w:rFonts w:cstheme="minorHAnsi"/>
        </w:rPr>
        <w:t>facts</w:t>
      </w:r>
      <w:proofErr w:type="spellEnd"/>
      <w:r w:rsidR="00D17195" w:rsidRPr="00CD4CEA">
        <w:rPr>
          <w:rFonts w:cstheme="minorHAnsi"/>
        </w:rPr>
        <w:t xml:space="preserve"> </w:t>
      </w:r>
      <w:r w:rsidR="003C1088" w:rsidRPr="00CD4CEA">
        <w:rPr>
          <w:rFonts w:cstheme="minorHAnsi"/>
        </w:rPr>
        <w:t xml:space="preserve">and documents, and data about </w:t>
      </w:r>
      <w:r w:rsidR="003C1088" w:rsidRPr="00CD4CEA">
        <w:rPr>
          <w:rFonts w:cstheme="minorHAnsi"/>
        </w:rPr>
        <w:lastRenderedPageBreak/>
        <w:t xml:space="preserve">the events that allow the memorials to speak directly to the context that they seek to make permanent. </w:t>
      </w:r>
      <w:r w:rsidR="00326728">
        <w:rPr>
          <w:rFonts w:cstheme="minorHAnsi"/>
        </w:rPr>
        <w:t>The process of creating and designing the memorial is as important – some say more important – tha</w:t>
      </w:r>
      <w:r w:rsidR="00240481">
        <w:rPr>
          <w:rFonts w:cstheme="minorHAnsi"/>
        </w:rPr>
        <w:t>n</w:t>
      </w:r>
      <w:r w:rsidR="00326728">
        <w:rPr>
          <w:rFonts w:cstheme="minorHAnsi"/>
        </w:rPr>
        <w:t xml:space="preserve"> the physical manifestation of the memorial itself. </w:t>
      </w:r>
      <w:r w:rsidR="000B700C">
        <w:rPr>
          <w:rFonts w:cstheme="minorHAnsi"/>
        </w:rPr>
        <w:t>Experts suggest that the</w:t>
      </w:r>
      <w:r w:rsidR="00326728">
        <w:rPr>
          <w:rFonts w:cstheme="minorHAnsi"/>
        </w:rPr>
        <w:t xml:space="preserve"> process should be </w:t>
      </w:r>
      <w:r w:rsidR="000B700C">
        <w:rPr>
          <w:rFonts w:cstheme="minorHAnsi"/>
        </w:rPr>
        <w:t xml:space="preserve">consultative, </w:t>
      </w:r>
      <w:r w:rsidR="00326728">
        <w:rPr>
          <w:rFonts w:cstheme="minorHAnsi"/>
        </w:rPr>
        <w:t>impartial, inclusive, and legit</w:t>
      </w:r>
      <w:r w:rsidR="000B700C">
        <w:rPr>
          <w:rFonts w:cstheme="minorHAnsi"/>
        </w:rPr>
        <w:t>i</w:t>
      </w:r>
      <w:r w:rsidR="00326728">
        <w:rPr>
          <w:rFonts w:cstheme="minorHAnsi"/>
        </w:rPr>
        <w:t>mate</w:t>
      </w:r>
      <w:r w:rsidR="000B700C">
        <w:rPr>
          <w:rFonts w:cstheme="minorHAnsi"/>
        </w:rPr>
        <w:t>, reflecting on the totality of the past while being dynamic enough to stay relevant.</w:t>
      </w:r>
      <w:r w:rsidR="00F41FE4">
        <w:rPr>
          <w:rStyle w:val="FootnoteReference"/>
          <w:rFonts w:cstheme="minorHAnsi"/>
        </w:rPr>
        <w:footnoteReference w:id="46"/>
      </w:r>
      <w:r w:rsidR="000B700C">
        <w:rPr>
          <w:rFonts w:cstheme="minorHAnsi"/>
        </w:rPr>
        <w:t xml:space="preserve"> In the words of the</w:t>
      </w:r>
      <w:r w:rsidR="00326728" w:rsidRPr="00CD4CEA">
        <w:rPr>
          <w:rFonts w:cstheme="minorHAnsi"/>
        </w:rPr>
        <w:t xml:space="preserve"> Special Rapporteur on the </w:t>
      </w:r>
      <w:r w:rsidR="000B700C">
        <w:rPr>
          <w:rFonts w:cstheme="minorHAnsi"/>
        </w:rPr>
        <w:t>p</w:t>
      </w:r>
      <w:r w:rsidR="00326728" w:rsidRPr="00CD4CEA">
        <w:rPr>
          <w:rFonts w:cstheme="minorHAnsi"/>
        </w:rPr>
        <w:t xml:space="preserve">romotion of </w:t>
      </w:r>
      <w:r w:rsidR="000B700C">
        <w:rPr>
          <w:rFonts w:cstheme="minorHAnsi"/>
        </w:rPr>
        <w:t>t</w:t>
      </w:r>
      <w:r w:rsidR="00326728" w:rsidRPr="00CD4CEA">
        <w:rPr>
          <w:rFonts w:cstheme="minorHAnsi"/>
        </w:rPr>
        <w:t xml:space="preserve">ruth, </w:t>
      </w:r>
      <w:r w:rsidR="000B700C">
        <w:rPr>
          <w:rFonts w:cstheme="minorHAnsi"/>
        </w:rPr>
        <w:t>j</w:t>
      </w:r>
      <w:r w:rsidR="00326728" w:rsidRPr="00CD4CEA">
        <w:rPr>
          <w:rFonts w:cstheme="minorHAnsi"/>
        </w:rPr>
        <w:t xml:space="preserve">ustice, </w:t>
      </w:r>
      <w:r w:rsidR="000B700C">
        <w:rPr>
          <w:rFonts w:cstheme="minorHAnsi"/>
        </w:rPr>
        <w:t>r</w:t>
      </w:r>
      <w:r w:rsidR="00326728" w:rsidRPr="00CD4CEA">
        <w:rPr>
          <w:rFonts w:cstheme="minorHAnsi"/>
        </w:rPr>
        <w:t xml:space="preserve">eparations and </w:t>
      </w:r>
      <w:r w:rsidR="000B700C">
        <w:rPr>
          <w:rFonts w:cstheme="minorHAnsi"/>
        </w:rPr>
        <w:t>g</w:t>
      </w:r>
      <w:r w:rsidR="00326728" w:rsidRPr="00CD4CEA">
        <w:rPr>
          <w:rFonts w:cstheme="minorHAnsi"/>
        </w:rPr>
        <w:t xml:space="preserve">uarantees of </w:t>
      </w:r>
      <w:r w:rsidR="000B700C">
        <w:rPr>
          <w:rFonts w:cstheme="minorHAnsi"/>
        </w:rPr>
        <w:t>n</w:t>
      </w:r>
      <w:r w:rsidR="00326728" w:rsidRPr="00CD4CEA">
        <w:rPr>
          <w:rFonts w:cstheme="minorHAnsi"/>
        </w:rPr>
        <w:t>on-</w:t>
      </w:r>
      <w:r w:rsidR="000B700C">
        <w:rPr>
          <w:rFonts w:cstheme="minorHAnsi"/>
        </w:rPr>
        <w:t>r</w:t>
      </w:r>
      <w:r w:rsidR="00326728" w:rsidRPr="00CD4CEA">
        <w:rPr>
          <w:rFonts w:cstheme="minorHAnsi"/>
        </w:rPr>
        <w:t>ecurrence, “in transitional contexts, memorialization processes must aim at building a democratic, pluralistic, inclusive and peaceful society, restoring dignity to victims and enabling society to regain trust and foster reconciliation</w:t>
      </w:r>
      <w:r w:rsidR="00326728" w:rsidRPr="00CD4CEA">
        <w:rPr>
          <w:rStyle w:val="markedcontent"/>
          <w:rFonts w:cstheme="minorHAnsi"/>
        </w:rPr>
        <w:t>.”</w:t>
      </w:r>
      <w:r w:rsidR="00326728" w:rsidRPr="00CD4CEA">
        <w:rPr>
          <w:rStyle w:val="FootnoteReference"/>
          <w:rFonts w:cstheme="minorHAnsi"/>
        </w:rPr>
        <w:footnoteReference w:id="47"/>
      </w:r>
    </w:p>
    <w:p w14:paraId="280A9C54" w14:textId="77777777" w:rsidR="00832B34" w:rsidRPr="00F17564" w:rsidRDefault="00832B34" w:rsidP="00832B34">
      <w:pPr>
        <w:pStyle w:val="ListParagraph"/>
        <w:rPr>
          <w:rFonts w:cstheme="minorHAnsi"/>
        </w:rPr>
      </w:pPr>
    </w:p>
    <w:p w14:paraId="3A1C1922" w14:textId="12B7DD5E" w:rsidR="00741DAD" w:rsidRPr="00CD4CEA" w:rsidRDefault="00057952" w:rsidP="00741DAD">
      <w:pPr>
        <w:ind w:left="1080"/>
        <w:rPr>
          <w:rFonts w:cstheme="minorHAnsi"/>
          <w:lang w:val="en-US"/>
        </w:rPr>
      </w:pPr>
      <w:r>
        <w:rPr>
          <w:rFonts w:cstheme="minorHAnsi"/>
          <w:lang w:val="en-US"/>
        </w:rPr>
        <w:t>T</w:t>
      </w:r>
      <w:r w:rsidR="00832B34" w:rsidRPr="00CD4CEA">
        <w:rPr>
          <w:rFonts w:cstheme="minorHAnsi"/>
          <w:lang w:val="en-US"/>
        </w:rPr>
        <w:t xml:space="preserve">he </w:t>
      </w:r>
      <w:proofErr w:type="spellStart"/>
      <w:r w:rsidR="00832B34" w:rsidRPr="00CD4CEA">
        <w:rPr>
          <w:rFonts w:cstheme="minorHAnsi"/>
          <w:lang w:val="en-US"/>
        </w:rPr>
        <w:t>Ojo</w:t>
      </w:r>
      <w:proofErr w:type="spellEnd"/>
      <w:r w:rsidR="00832B34" w:rsidRPr="00CD4CEA">
        <w:rPr>
          <w:rFonts w:cstheme="minorHAnsi"/>
          <w:lang w:val="en-US"/>
        </w:rPr>
        <w:t xml:space="preserve"> </w:t>
      </w:r>
      <w:r w:rsidR="00A43838" w:rsidRPr="00CD4CEA">
        <w:rPr>
          <w:rFonts w:cstheme="minorHAnsi"/>
          <w:lang w:val="en-US"/>
        </w:rPr>
        <w:t>q</w:t>
      </w:r>
      <w:r w:rsidR="00832B34" w:rsidRPr="00CD4CEA">
        <w:rPr>
          <w:rFonts w:cstheme="minorHAnsi"/>
          <w:lang w:val="en-US"/>
        </w:rPr>
        <w:t xml:space="preserve">ue </w:t>
      </w:r>
      <w:proofErr w:type="spellStart"/>
      <w:r w:rsidR="00832B34" w:rsidRPr="00CD4CEA">
        <w:rPr>
          <w:rFonts w:cstheme="minorHAnsi"/>
          <w:lang w:val="en-US"/>
        </w:rPr>
        <w:t>Llora</w:t>
      </w:r>
      <w:proofErr w:type="spellEnd"/>
      <w:r w:rsidR="00832B34" w:rsidRPr="00CD4CEA">
        <w:rPr>
          <w:rFonts w:cstheme="minorHAnsi"/>
          <w:lang w:val="en-US"/>
        </w:rPr>
        <w:t xml:space="preserve"> (</w:t>
      </w:r>
      <w:r w:rsidR="005C1002" w:rsidRPr="00CD4CEA">
        <w:rPr>
          <w:rFonts w:cstheme="minorHAnsi"/>
          <w:lang w:val="en-US"/>
        </w:rPr>
        <w:t xml:space="preserve">Eye that </w:t>
      </w:r>
      <w:proofErr w:type="gramStart"/>
      <w:r w:rsidR="005C1002" w:rsidRPr="00CD4CEA">
        <w:rPr>
          <w:rFonts w:cstheme="minorHAnsi"/>
          <w:lang w:val="en-US"/>
        </w:rPr>
        <w:t>Cries</w:t>
      </w:r>
      <w:proofErr w:type="gramEnd"/>
      <w:r w:rsidR="00832B34" w:rsidRPr="00CD4CEA">
        <w:rPr>
          <w:rFonts w:cstheme="minorHAnsi"/>
          <w:lang w:val="en-US"/>
        </w:rPr>
        <w:t xml:space="preserve">) </w:t>
      </w:r>
      <w:r>
        <w:rPr>
          <w:rFonts w:cstheme="minorHAnsi"/>
          <w:lang w:val="en-US"/>
        </w:rPr>
        <w:t xml:space="preserve">is a </w:t>
      </w:r>
      <w:r w:rsidR="00832B34" w:rsidRPr="00CD4CEA">
        <w:rPr>
          <w:rFonts w:cstheme="minorHAnsi"/>
          <w:lang w:val="en-US"/>
        </w:rPr>
        <w:t>memorial in Lima, Peru</w:t>
      </w:r>
      <w:r>
        <w:rPr>
          <w:rFonts w:cstheme="minorHAnsi"/>
          <w:lang w:val="en-US"/>
        </w:rPr>
        <w:t>, dedicated to commemorating the victims of that country’s armed conflict over the last two decades of the</w:t>
      </w:r>
      <w:r w:rsidR="00F17564">
        <w:rPr>
          <w:rFonts w:cstheme="minorHAnsi"/>
          <w:lang w:val="en-US"/>
        </w:rPr>
        <w:t xml:space="preserve"> twentieth century</w:t>
      </w:r>
      <w:r w:rsidR="00832B34" w:rsidRPr="00CD4CEA">
        <w:rPr>
          <w:rFonts w:cstheme="minorHAnsi"/>
          <w:lang w:val="en-US"/>
        </w:rPr>
        <w:t>. Around the memorial</w:t>
      </w:r>
      <w:r w:rsidR="0003402D" w:rsidRPr="00CD4CEA">
        <w:rPr>
          <w:rFonts w:cstheme="minorHAnsi"/>
          <w:lang w:val="en-US"/>
        </w:rPr>
        <w:t>, which takes the form of a</w:t>
      </w:r>
      <w:r w:rsidR="00832B34" w:rsidRPr="00CD4CEA">
        <w:rPr>
          <w:rFonts w:cstheme="minorHAnsi"/>
          <w:lang w:val="en-US"/>
        </w:rPr>
        <w:t xml:space="preserve"> fountain/sculpture of an eye that permanently cries</w:t>
      </w:r>
      <w:proofErr w:type="gramStart"/>
      <w:r w:rsidR="0003402D" w:rsidRPr="00CD4CEA">
        <w:rPr>
          <w:rFonts w:cstheme="minorHAnsi"/>
          <w:lang w:val="en-US"/>
        </w:rPr>
        <w:t>,</w:t>
      </w:r>
      <w:proofErr w:type="gramEnd"/>
      <w:r w:rsidR="00DF0A03" w:rsidRPr="00CD4CEA">
        <w:rPr>
          <w:rFonts w:cstheme="minorHAnsi"/>
          <w:lang w:val="en-US"/>
        </w:rPr>
        <w:t xml:space="preserve"> </w:t>
      </w:r>
      <w:r w:rsidR="00832B34" w:rsidRPr="00CD4CEA">
        <w:rPr>
          <w:rFonts w:cstheme="minorHAnsi"/>
          <w:lang w:val="en-US"/>
        </w:rPr>
        <w:t>families place small stones with the names of their lost relatives.</w:t>
      </w:r>
      <w:r w:rsidR="00F41FE4" w:rsidRPr="00CD4CEA">
        <w:rPr>
          <w:rStyle w:val="FootnoteReference"/>
          <w:rFonts w:cstheme="minorHAnsi"/>
          <w:lang w:val="en-US"/>
        </w:rPr>
        <w:footnoteReference w:id="48"/>
      </w:r>
      <w:r w:rsidR="00F41FE4">
        <w:rPr>
          <w:rFonts w:cstheme="minorHAnsi"/>
          <w:lang w:val="en-US"/>
        </w:rPr>
        <w:t xml:space="preserve"> The memorial has not been immune from controversy and has sparked important conversations about who should be counted as a victim.</w:t>
      </w:r>
      <w:r w:rsidR="00F41FE4">
        <w:rPr>
          <w:rStyle w:val="FootnoteReference"/>
          <w:rFonts w:cstheme="minorHAnsi"/>
          <w:lang w:val="en-US"/>
        </w:rPr>
        <w:footnoteReference w:id="49"/>
      </w:r>
    </w:p>
    <w:p w14:paraId="738F6500" w14:textId="77777777" w:rsidR="007169E4" w:rsidRDefault="007169E4" w:rsidP="007169E4">
      <w:pPr>
        <w:pStyle w:val="NormalWeb"/>
        <w:spacing w:before="0" w:beforeAutospacing="0" w:after="0" w:afterAutospacing="0"/>
        <w:ind w:left="1080"/>
        <w:rPr>
          <w:rFonts w:asciiTheme="minorHAnsi" w:hAnsiTheme="minorHAnsi" w:cstheme="minorHAnsi"/>
          <w:sz w:val="22"/>
          <w:szCs w:val="22"/>
        </w:rPr>
      </w:pPr>
    </w:p>
    <w:p w14:paraId="1DA5D852" w14:textId="17109E23" w:rsidR="0086070B" w:rsidRPr="00CD4CEA" w:rsidRDefault="0056279A" w:rsidP="00F17564">
      <w:pPr>
        <w:pStyle w:val="NormalWeb"/>
        <w:spacing w:before="0" w:beforeAutospacing="0" w:after="0" w:afterAutospacing="0"/>
        <w:ind w:left="1080"/>
        <w:rPr>
          <w:rFonts w:asciiTheme="minorHAnsi" w:hAnsiTheme="minorHAnsi" w:cstheme="minorHAnsi"/>
          <w:sz w:val="22"/>
          <w:szCs w:val="22"/>
        </w:rPr>
      </w:pPr>
      <w:r>
        <w:rPr>
          <w:rFonts w:asciiTheme="minorHAnsi" w:hAnsiTheme="minorHAnsi" w:cstheme="minorHAnsi"/>
          <w:sz w:val="22"/>
          <w:szCs w:val="22"/>
        </w:rPr>
        <w:t xml:space="preserve">The Kosovo Memory Book Database </w:t>
      </w:r>
      <w:r w:rsidR="0086070B" w:rsidRPr="00CD4CEA">
        <w:rPr>
          <w:rFonts w:asciiTheme="minorHAnsi" w:hAnsiTheme="minorHAnsi" w:cstheme="minorHAnsi"/>
          <w:sz w:val="22"/>
          <w:szCs w:val="22"/>
        </w:rPr>
        <w:t>document</w:t>
      </w:r>
      <w:r w:rsidR="0086070B">
        <w:rPr>
          <w:rFonts w:asciiTheme="minorHAnsi" w:hAnsiTheme="minorHAnsi" w:cstheme="minorHAnsi"/>
          <w:sz w:val="22"/>
          <w:szCs w:val="22"/>
        </w:rPr>
        <w:t>s</w:t>
      </w:r>
      <w:r w:rsidR="0086070B" w:rsidRPr="00CD4CEA">
        <w:rPr>
          <w:rFonts w:asciiTheme="minorHAnsi" w:hAnsiTheme="minorHAnsi" w:cstheme="minorHAnsi"/>
          <w:sz w:val="22"/>
          <w:szCs w:val="22"/>
        </w:rPr>
        <w:t xml:space="preserve"> the life stories and circumstances of </w:t>
      </w:r>
      <w:r w:rsidR="00240481">
        <w:rPr>
          <w:rFonts w:asciiTheme="minorHAnsi" w:hAnsiTheme="minorHAnsi" w:cstheme="minorHAnsi"/>
          <w:sz w:val="22"/>
          <w:szCs w:val="22"/>
        </w:rPr>
        <w:t xml:space="preserve">the </w:t>
      </w:r>
      <w:r w:rsidR="0086070B" w:rsidRPr="00CD4CEA">
        <w:rPr>
          <w:rFonts w:asciiTheme="minorHAnsi" w:hAnsiTheme="minorHAnsi" w:cstheme="minorHAnsi"/>
          <w:sz w:val="22"/>
          <w:szCs w:val="22"/>
        </w:rPr>
        <w:t>death or disappearance of 13,535 victims of the conflict in Kosovo between January</w:t>
      </w:r>
      <w:r w:rsidR="0086070B">
        <w:rPr>
          <w:rFonts w:asciiTheme="minorHAnsi" w:hAnsiTheme="minorHAnsi" w:cstheme="minorHAnsi"/>
          <w:sz w:val="22"/>
          <w:szCs w:val="22"/>
        </w:rPr>
        <w:t xml:space="preserve"> 1,</w:t>
      </w:r>
      <w:r w:rsidR="0086070B" w:rsidRPr="00CD4CEA">
        <w:rPr>
          <w:rFonts w:asciiTheme="minorHAnsi" w:hAnsiTheme="minorHAnsi" w:cstheme="minorHAnsi"/>
          <w:sz w:val="22"/>
          <w:szCs w:val="22"/>
        </w:rPr>
        <w:t xml:space="preserve"> 1998 and December</w:t>
      </w:r>
      <w:r w:rsidR="0086070B">
        <w:rPr>
          <w:rFonts w:asciiTheme="minorHAnsi" w:hAnsiTheme="minorHAnsi" w:cstheme="minorHAnsi"/>
          <w:sz w:val="22"/>
          <w:szCs w:val="22"/>
        </w:rPr>
        <w:t xml:space="preserve"> 31,</w:t>
      </w:r>
      <w:r w:rsidR="0086070B" w:rsidRPr="00CD4CEA">
        <w:rPr>
          <w:rFonts w:asciiTheme="minorHAnsi" w:hAnsiTheme="minorHAnsi" w:cstheme="minorHAnsi"/>
          <w:sz w:val="22"/>
          <w:szCs w:val="22"/>
        </w:rPr>
        <w:t xml:space="preserve"> 2000.</w:t>
      </w:r>
      <w:r w:rsidR="0086070B" w:rsidRPr="00CD4CEA">
        <w:rPr>
          <w:rStyle w:val="FootnoteReference"/>
          <w:rFonts w:asciiTheme="minorHAnsi" w:hAnsiTheme="minorHAnsi" w:cstheme="minorHAnsi"/>
          <w:sz w:val="22"/>
          <w:szCs w:val="22"/>
        </w:rPr>
        <w:footnoteReference w:id="50"/>
      </w:r>
      <w:r w:rsidR="0086070B" w:rsidRPr="00CD4CEA">
        <w:rPr>
          <w:rFonts w:asciiTheme="minorHAnsi" w:hAnsiTheme="minorHAnsi" w:cstheme="minorHAnsi"/>
          <w:sz w:val="22"/>
          <w:szCs w:val="22"/>
        </w:rPr>
        <w:t xml:space="preserve"> The result of years of research, it is based on direct interviews with thousands of witnesses and family members, photographs, court documents, forensic reports, records of the armed forces, reports of </w:t>
      </w:r>
      <w:r w:rsidR="0086070B">
        <w:rPr>
          <w:rFonts w:asciiTheme="minorHAnsi" w:hAnsiTheme="minorHAnsi" w:cstheme="minorHAnsi"/>
          <w:sz w:val="22"/>
          <w:szCs w:val="22"/>
        </w:rPr>
        <w:t>NGOs</w:t>
      </w:r>
      <w:r w:rsidR="0086070B" w:rsidRPr="00CD4CEA">
        <w:rPr>
          <w:rFonts w:asciiTheme="minorHAnsi" w:hAnsiTheme="minorHAnsi" w:cstheme="minorHAnsi"/>
          <w:sz w:val="22"/>
          <w:szCs w:val="22"/>
        </w:rPr>
        <w:t xml:space="preserve"> and the media, war diaries, and other related documents.</w:t>
      </w:r>
      <w:r w:rsidR="0086070B" w:rsidRPr="0086070B">
        <w:rPr>
          <w:rFonts w:asciiTheme="minorHAnsi" w:hAnsiTheme="minorHAnsi" w:cstheme="minorHAnsi"/>
          <w:sz w:val="22"/>
          <w:szCs w:val="22"/>
        </w:rPr>
        <w:t xml:space="preserve"> </w:t>
      </w:r>
      <w:r w:rsidR="0086070B" w:rsidRPr="00CD4CEA">
        <w:rPr>
          <w:rFonts w:asciiTheme="minorHAnsi" w:hAnsiTheme="minorHAnsi" w:cstheme="minorHAnsi"/>
          <w:sz w:val="22"/>
          <w:szCs w:val="22"/>
        </w:rPr>
        <w:t xml:space="preserve">Like </w:t>
      </w:r>
      <w:r w:rsidR="0086070B" w:rsidRPr="00CD4CEA">
        <w:rPr>
          <w:rFonts w:asciiTheme="minorHAnsi" w:hAnsiTheme="minorHAnsi" w:cstheme="minorHAnsi"/>
          <w:i/>
          <w:sz w:val="22"/>
          <w:szCs w:val="22"/>
        </w:rPr>
        <w:t>Lost Lives</w:t>
      </w:r>
      <w:r w:rsidR="0086070B" w:rsidRPr="00CD4CEA">
        <w:rPr>
          <w:rFonts w:asciiTheme="minorHAnsi" w:hAnsiTheme="minorHAnsi" w:cstheme="minorHAnsi"/>
          <w:sz w:val="22"/>
          <w:szCs w:val="22"/>
        </w:rPr>
        <w:t xml:space="preserve">, the </w:t>
      </w:r>
      <w:r w:rsidR="0086070B" w:rsidRPr="0086070B">
        <w:rPr>
          <w:rFonts w:asciiTheme="minorHAnsi" w:hAnsiTheme="minorHAnsi" w:cstheme="minorHAnsi"/>
          <w:sz w:val="22"/>
          <w:szCs w:val="22"/>
        </w:rPr>
        <w:t>Kosovo Memory Book</w:t>
      </w:r>
      <w:r w:rsidR="0086070B" w:rsidRPr="00CD4CEA">
        <w:rPr>
          <w:rFonts w:asciiTheme="minorHAnsi" w:hAnsiTheme="minorHAnsi" w:cstheme="minorHAnsi"/>
          <w:sz w:val="22"/>
          <w:szCs w:val="22"/>
        </w:rPr>
        <w:t xml:space="preserve"> </w:t>
      </w:r>
      <w:r w:rsidR="0086070B">
        <w:rPr>
          <w:rFonts w:asciiTheme="minorHAnsi" w:hAnsiTheme="minorHAnsi" w:cstheme="minorHAnsi"/>
          <w:sz w:val="22"/>
          <w:szCs w:val="22"/>
        </w:rPr>
        <w:t xml:space="preserve">Database </w:t>
      </w:r>
      <w:r w:rsidR="0086070B" w:rsidRPr="00CD4CEA">
        <w:rPr>
          <w:rFonts w:asciiTheme="minorHAnsi" w:hAnsiTheme="minorHAnsi" w:cstheme="minorHAnsi"/>
          <w:sz w:val="22"/>
          <w:szCs w:val="22"/>
        </w:rPr>
        <w:t>lists the deceased by objective criteria (in this case, alphabetically). Entries are not divided by political, religious, ethnic</w:t>
      </w:r>
      <w:r w:rsidR="0086070B">
        <w:rPr>
          <w:rFonts w:asciiTheme="minorHAnsi" w:hAnsiTheme="minorHAnsi" w:cstheme="minorHAnsi"/>
          <w:sz w:val="22"/>
          <w:szCs w:val="22"/>
        </w:rPr>
        <w:t>,</w:t>
      </w:r>
      <w:r w:rsidR="0086070B" w:rsidRPr="00CD4CEA">
        <w:rPr>
          <w:rFonts w:asciiTheme="minorHAnsi" w:hAnsiTheme="minorHAnsi" w:cstheme="minorHAnsi"/>
          <w:sz w:val="22"/>
          <w:szCs w:val="22"/>
        </w:rPr>
        <w:t xml:space="preserve"> or military status. This combined recognition of casualties from all sides of the Kosovo conflict was a deliberate effort to create a shared societal understanding of the past, and combat ethno-nationalistic memory politics. </w:t>
      </w:r>
    </w:p>
    <w:p w14:paraId="041068AA" w14:textId="77777777" w:rsidR="00490DCB" w:rsidRPr="00F17564" w:rsidRDefault="00490DCB" w:rsidP="009D1B47">
      <w:pPr>
        <w:rPr>
          <w:rFonts w:cstheme="minorHAnsi"/>
        </w:rPr>
      </w:pPr>
    </w:p>
    <w:p w14:paraId="048BE521" w14:textId="1FE93F88" w:rsidR="00741DAD" w:rsidRPr="00CD4CEA" w:rsidRDefault="00490DCB" w:rsidP="009D1B47">
      <w:pPr>
        <w:pStyle w:val="ListParagraph"/>
        <w:numPr>
          <w:ilvl w:val="0"/>
          <w:numId w:val="15"/>
        </w:numPr>
        <w:ind w:left="1080"/>
        <w:rPr>
          <w:rFonts w:cstheme="minorHAnsi"/>
          <w:i/>
        </w:rPr>
      </w:pPr>
      <w:proofErr w:type="spellStart"/>
      <w:r w:rsidRPr="00CD4CEA">
        <w:rPr>
          <w:rFonts w:cstheme="minorHAnsi"/>
          <w:b/>
          <w:i/>
        </w:rPr>
        <w:t>Behavior</w:t>
      </w:r>
      <w:proofErr w:type="spellEnd"/>
      <w:r w:rsidRPr="00CD4CEA">
        <w:rPr>
          <w:rFonts w:cstheme="minorHAnsi"/>
          <w:b/>
          <w:i/>
        </w:rPr>
        <w:t xml:space="preserve"> Change.</w:t>
      </w:r>
      <w:r w:rsidR="003C1088" w:rsidRPr="00CD4CEA">
        <w:rPr>
          <w:rFonts w:cstheme="minorHAnsi"/>
          <w:i/>
        </w:rPr>
        <w:t xml:space="preserve"> </w:t>
      </w:r>
      <w:r w:rsidR="003C1088" w:rsidRPr="00CD4CEA">
        <w:rPr>
          <w:rFonts w:cstheme="minorHAnsi"/>
        </w:rPr>
        <w:t xml:space="preserve">Confronting oppressors, collaborators, and complicit bystanders with the data about the human rights violations suffered can also help to change future </w:t>
      </w:r>
      <w:proofErr w:type="spellStart"/>
      <w:r w:rsidR="003C1088" w:rsidRPr="00CD4CEA">
        <w:rPr>
          <w:rFonts w:cstheme="minorHAnsi"/>
        </w:rPr>
        <w:t>behavior</w:t>
      </w:r>
      <w:proofErr w:type="spellEnd"/>
      <w:r w:rsidR="003C1088" w:rsidRPr="00CD4CEA">
        <w:rPr>
          <w:rFonts w:cstheme="minorHAnsi"/>
        </w:rPr>
        <w:t xml:space="preserve">. In the immediate term, documentation efforts can help perpetrators understand that they are being watched, which can lead to changing tactics or the cessation of violations. </w:t>
      </w:r>
      <w:r w:rsidR="00797A1E" w:rsidRPr="00CD4CEA">
        <w:rPr>
          <w:rFonts w:cstheme="minorHAnsi"/>
        </w:rPr>
        <w:t>Over the longer</w:t>
      </w:r>
      <w:r w:rsidR="00A927F6" w:rsidRPr="00CD4CEA">
        <w:rPr>
          <w:rFonts w:cstheme="minorHAnsi"/>
        </w:rPr>
        <w:t>-</w:t>
      </w:r>
      <w:r w:rsidR="00797A1E" w:rsidRPr="00CD4CEA">
        <w:rPr>
          <w:rFonts w:cstheme="minorHAnsi"/>
        </w:rPr>
        <w:t>term, information and knowledge developed by documenters can help to create new social contracts between previously victimized groups and their oppressors.</w:t>
      </w:r>
    </w:p>
    <w:p w14:paraId="05E1CC47" w14:textId="77777777" w:rsidR="00741DAD" w:rsidRPr="00CD4CEA" w:rsidRDefault="00741DAD" w:rsidP="00741DAD">
      <w:pPr>
        <w:pStyle w:val="ListParagraph"/>
        <w:ind w:left="1080"/>
        <w:rPr>
          <w:rFonts w:cstheme="minorHAnsi"/>
        </w:rPr>
      </w:pPr>
    </w:p>
    <w:p w14:paraId="4266767E" w14:textId="19C2AC57" w:rsidR="00E2109E" w:rsidRPr="00CD4CEA" w:rsidRDefault="00797A1E" w:rsidP="00E2109E">
      <w:pPr>
        <w:pStyle w:val="ListParagraph"/>
        <w:ind w:left="1080"/>
        <w:rPr>
          <w:rFonts w:cstheme="minorHAnsi"/>
        </w:rPr>
      </w:pPr>
      <w:r w:rsidRPr="00CD4CEA">
        <w:rPr>
          <w:rFonts w:cstheme="minorHAnsi"/>
        </w:rPr>
        <w:lastRenderedPageBreak/>
        <w:t>For instance, violence and corruption by Kenyan police forces in the capital city of Nairobi had largely gone undocumented until a</w:t>
      </w:r>
      <w:r w:rsidR="008D3D36" w:rsidRPr="00CD4CEA">
        <w:rPr>
          <w:rFonts w:cstheme="minorHAnsi"/>
        </w:rPr>
        <w:t xml:space="preserve"> group of investigative journalists</w:t>
      </w:r>
      <w:r w:rsidRPr="00CD4CEA">
        <w:rPr>
          <w:rFonts w:cstheme="minorHAnsi"/>
        </w:rPr>
        <w:t xml:space="preserve"> called Africa Uncensored started</w:t>
      </w:r>
      <w:r w:rsidR="008D3D36" w:rsidRPr="00CD4CEA">
        <w:rPr>
          <w:rFonts w:cstheme="minorHAnsi"/>
        </w:rPr>
        <w:t xml:space="preserve"> working with citizens to document what was happening.</w:t>
      </w:r>
      <w:r w:rsidR="00503E83" w:rsidRPr="00CD4CEA">
        <w:rPr>
          <w:rStyle w:val="FootnoteReference"/>
          <w:rFonts w:cstheme="minorHAnsi"/>
        </w:rPr>
        <w:footnoteReference w:id="51"/>
      </w:r>
      <w:r w:rsidR="008D3D36" w:rsidRPr="00CD4CEA">
        <w:rPr>
          <w:rFonts w:cstheme="minorHAnsi"/>
        </w:rPr>
        <w:t xml:space="preserve"> This visual documentation</w:t>
      </w:r>
      <w:r w:rsidR="00DF0A03" w:rsidRPr="00CD4CEA">
        <w:rPr>
          <w:rFonts w:cstheme="minorHAnsi"/>
        </w:rPr>
        <w:t xml:space="preserve"> </w:t>
      </w:r>
      <w:r w:rsidR="008D3D36" w:rsidRPr="00CD4CEA">
        <w:rPr>
          <w:rFonts w:cstheme="minorHAnsi"/>
        </w:rPr>
        <w:t xml:space="preserve">of abuse and corruption led to </w:t>
      </w:r>
      <w:r w:rsidRPr="00AD0021">
        <w:rPr>
          <w:rFonts w:cstheme="minorHAnsi"/>
        </w:rPr>
        <w:t>several</w:t>
      </w:r>
      <w:r w:rsidRPr="00CD4CEA">
        <w:rPr>
          <w:rFonts w:cstheme="minorHAnsi"/>
        </w:rPr>
        <w:t xml:space="preserve"> TV series </w:t>
      </w:r>
      <w:r w:rsidR="008D3D36" w:rsidRPr="00CD4CEA">
        <w:rPr>
          <w:rFonts w:cstheme="minorHAnsi"/>
        </w:rPr>
        <w:t xml:space="preserve">and </w:t>
      </w:r>
      <w:r w:rsidRPr="00CD4CEA">
        <w:rPr>
          <w:rFonts w:cstheme="minorHAnsi"/>
        </w:rPr>
        <w:t>social media campaigns,</w:t>
      </w:r>
      <w:r w:rsidR="008D3D36" w:rsidRPr="00CD4CEA">
        <w:rPr>
          <w:rFonts w:cstheme="minorHAnsi"/>
        </w:rPr>
        <w:t xml:space="preserve"> resulting in</w:t>
      </w:r>
      <w:r w:rsidRPr="00CD4CEA">
        <w:rPr>
          <w:rFonts w:cstheme="minorHAnsi"/>
        </w:rPr>
        <w:t xml:space="preserve"> the removal of offending officers, public statements by government officials</w:t>
      </w:r>
      <w:r w:rsidR="005560A5">
        <w:rPr>
          <w:rFonts w:cstheme="minorHAnsi"/>
        </w:rPr>
        <w:t>,</w:t>
      </w:r>
      <w:r w:rsidRPr="00CD4CEA">
        <w:rPr>
          <w:rFonts w:cstheme="minorHAnsi"/>
        </w:rPr>
        <w:t xml:space="preserve"> and eventually to a growing willingness and ability of Nairobi citizens </w:t>
      </w:r>
      <w:r w:rsidR="005560A5">
        <w:rPr>
          <w:rFonts w:cstheme="minorHAnsi"/>
        </w:rPr>
        <w:t xml:space="preserve">to </w:t>
      </w:r>
      <w:r w:rsidRPr="00CD4CEA">
        <w:rPr>
          <w:rFonts w:cstheme="minorHAnsi"/>
        </w:rPr>
        <w:t>openly film abuses they witnessed during the COVID</w:t>
      </w:r>
      <w:r w:rsidR="00EE1902">
        <w:rPr>
          <w:rFonts w:cstheme="minorHAnsi"/>
        </w:rPr>
        <w:t>-19</w:t>
      </w:r>
      <w:r w:rsidRPr="00CD4CEA">
        <w:rPr>
          <w:rFonts w:cstheme="minorHAnsi"/>
        </w:rPr>
        <w:t xml:space="preserve"> pandemic lockdowns.</w:t>
      </w:r>
      <w:r w:rsidR="00C74F28">
        <w:rPr>
          <w:rStyle w:val="FootnoteReference"/>
          <w:rFonts w:cstheme="minorHAnsi"/>
        </w:rPr>
        <w:footnoteReference w:id="52"/>
      </w:r>
      <w:r w:rsidRPr="00CD4CEA">
        <w:rPr>
          <w:rFonts w:cstheme="minorHAnsi"/>
        </w:rPr>
        <w:t xml:space="preserve"> The social contract between the citizen and the police</w:t>
      </w:r>
      <w:r w:rsidR="008D3D36" w:rsidRPr="00CD4CEA">
        <w:rPr>
          <w:rFonts w:cstheme="minorHAnsi"/>
        </w:rPr>
        <w:t xml:space="preserve"> </w:t>
      </w:r>
      <w:r w:rsidR="008D3D36" w:rsidRPr="00AD0021">
        <w:rPr>
          <w:rFonts w:cstheme="minorHAnsi"/>
        </w:rPr>
        <w:t>has started</w:t>
      </w:r>
      <w:r w:rsidR="008D3D36" w:rsidRPr="00CD4CEA">
        <w:rPr>
          <w:rFonts w:cstheme="minorHAnsi"/>
        </w:rPr>
        <w:t xml:space="preserve"> to</w:t>
      </w:r>
      <w:r w:rsidRPr="00CD4CEA">
        <w:rPr>
          <w:rFonts w:cstheme="minorHAnsi"/>
        </w:rPr>
        <w:t xml:space="preserve"> change</w:t>
      </w:r>
      <w:r w:rsidR="008D3D36" w:rsidRPr="00CD4CEA">
        <w:rPr>
          <w:rFonts w:cstheme="minorHAnsi"/>
        </w:rPr>
        <w:t>:</w:t>
      </w:r>
      <w:r w:rsidR="0003402D" w:rsidRPr="00CD4CEA">
        <w:rPr>
          <w:rFonts w:cstheme="minorHAnsi"/>
        </w:rPr>
        <w:t xml:space="preserve"> </w:t>
      </w:r>
      <w:r w:rsidRPr="00CD4CEA">
        <w:rPr>
          <w:rFonts w:cstheme="minorHAnsi"/>
        </w:rPr>
        <w:t xml:space="preserve">the police </w:t>
      </w:r>
      <w:r w:rsidRPr="00AD0021">
        <w:rPr>
          <w:rFonts w:cstheme="minorHAnsi"/>
        </w:rPr>
        <w:t>recogni</w:t>
      </w:r>
      <w:r w:rsidR="0003402D" w:rsidRPr="00AD0021">
        <w:rPr>
          <w:rFonts w:cstheme="minorHAnsi"/>
        </w:rPr>
        <w:t>z</w:t>
      </w:r>
      <w:r w:rsidRPr="00AD0021">
        <w:rPr>
          <w:rFonts w:cstheme="minorHAnsi"/>
        </w:rPr>
        <w:t>e</w:t>
      </w:r>
      <w:r w:rsidRPr="00CD4CEA">
        <w:rPr>
          <w:rFonts w:cstheme="minorHAnsi"/>
        </w:rPr>
        <w:t xml:space="preserve"> that abuses </w:t>
      </w:r>
      <w:r w:rsidR="008D3D36" w:rsidRPr="00CD4CEA">
        <w:rPr>
          <w:rFonts w:cstheme="minorHAnsi"/>
        </w:rPr>
        <w:t>might be</w:t>
      </w:r>
      <w:r w:rsidRPr="00CD4CEA">
        <w:rPr>
          <w:rFonts w:cstheme="minorHAnsi"/>
        </w:rPr>
        <w:t xml:space="preserve"> documen</w:t>
      </w:r>
      <w:r w:rsidR="00E2109E" w:rsidRPr="00CD4CEA">
        <w:rPr>
          <w:rFonts w:cstheme="minorHAnsi"/>
        </w:rPr>
        <w:t>ted</w:t>
      </w:r>
      <w:r w:rsidR="008D3D36" w:rsidRPr="00CD4CEA">
        <w:rPr>
          <w:rFonts w:cstheme="minorHAnsi"/>
        </w:rPr>
        <w:t xml:space="preserve"> and posted online</w:t>
      </w:r>
      <w:r w:rsidR="00E2109E" w:rsidRPr="00CD4CEA">
        <w:rPr>
          <w:rFonts w:cstheme="minorHAnsi"/>
        </w:rPr>
        <w:t>.</w:t>
      </w:r>
    </w:p>
    <w:p w14:paraId="6FDC8A2D" w14:textId="77777777" w:rsidR="00E2109E" w:rsidRPr="00F17564" w:rsidRDefault="00E2109E" w:rsidP="00E2109E">
      <w:pPr>
        <w:rPr>
          <w:rFonts w:cstheme="minorHAnsi"/>
        </w:rPr>
      </w:pPr>
    </w:p>
    <w:p w14:paraId="7AADC858" w14:textId="6ECA80CE" w:rsidR="00E2109E" w:rsidRPr="00CD4CEA" w:rsidRDefault="00E2109E" w:rsidP="00E2109E">
      <w:pPr>
        <w:pStyle w:val="ListParagraph"/>
        <w:numPr>
          <w:ilvl w:val="0"/>
          <w:numId w:val="15"/>
        </w:numPr>
        <w:ind w:left="1134"/>
        <w:rPr>
          <w:rFonts w:cstheme="minorHAnsi"/>
        </w:rPr>
      </w:pPr>
      <w:r w:rsidRPr="00CD4CEA">
        <w:rPr>
          <w:rFonts w:cstheme="minorHAnsi"/>
          <w:b/>
          <w:i/>
        </w:rPr>
        <w:t xml:space="preserve">Future Building. </w:t>
      </w:r>
      <w:r w:rsidRPr="00CD4CEA">
        <w:rPr>
          <w:rFonts w:cstheme="minorHAnsi"/>
        </w:rPr>
        <w:t xml:space="preserve">We often think of documentation as dealing with the past, but deepening and expanding our understanding of past events provides critical understanding necessary to shape the future. There has been a shift in </w:t>
      </w:r>
      <w:r w:rsidR="0003402D" w:rsidRPr="00CD4CEA">
        <w:rPr>
          <w:rFonts w:cstheme="minorHAnsi"/>
        </w:rPr>
        <w:t>recent</w:t>
      </w:r>
      <w:r w:rsidRPr="00CD4CEA">
        <w:rPr>
          <w:rFonts w:cstheme="minorHAnsi"/>
        </w:rPr>
        <w:t xml:space="preserve"> years </w:t>
      </w:r>
      <w:r w:rsidR="0003402D" w:rsidRPr="00CD4CEA">
        <w:rPr>
          <w:rFonts w:cstheme="minorHAnsi"/>
        </w:rPr>
        <w:t>on</w:t>
      </w:r>
      <w:r w:rsidRPr="00CD4CEA">
        <w:rPr>
          <w:rFonts w:cstheme="minorHAnsi"/>
        </w:rPr>
        <w:t xml:space="preserve"> how to bring more hope and positivity to conversations about human rights. The work of Thomas Coombes (a</w:t>
      </w:r>
      <w:r w:rsidR="00A927F6" w:rsidRPr="00CD4CEA">
        <w:rPr>
          <w:rFonts w:cstheme="minorHAnsi"/>
        </w:rPr>
        <w:t>lso</w:t>
      </w:r>
      <w:r w:rsidRPr="00CD4CEA">
        <w:rPr>
          <w:rFonts w:cstheme="minorHAnsi"/>
        </w:rPr>
        <w:t xml:space="preserve"> known as </w:t>
      </w:r>
      <w:r w:rsidR="0003402D" w:rsidRPr="00CD4CEA">
        <w:rPr>
          <w:rFonts w:cstheme="minorHAnsi"/>
        </w:rPr>
        <w:t>“</w:t>
      </w:r>
      <w:r w:rsidRPr="00CD4CEA">
        <w:rPr>
          <w:rFonts w:cstheme="minorHAnsi"/>
        </w:rPr>
        <w:t>The Hope Guy</w:t>
      </w:r>
      <w:r w:rsidR="0003402D" w:rsidRPr="00CD4CEA">
        <w:rPr>
          <w:rFonts w:cstheme="minorHAnsi"/>
        </w:rPr>
        <w:t>”</w:t>
      </w:r>
      <w:r w:rsidRPr="00CD4CEA">
        <w:rPr>
          <w:rFonts w:cstheme="minorHAnsi"/>
        </w:rPr>
        <w:t>) speaks to this most directly.</w:t>
      </w:r>
      <w:r w:rsidR="0086070B">
        <w:rPr>
          <w:rStyle w:val="FootnoteReference"/>
          <w:rFonts w:cstheme="minorHAnsi"/>
        </w:rPr>
        <w:footnoteReference w:id="53"/>
      </w:r>
      <w:r w:rsidRPr="00CD4CEA">
        <w:rPr>
          <w:rFonts w:cstheme="minorHAnsi"/>
        </w:rPr>
        <w:t xml:space="preserve"> Future building can stem from the agency, community building, and education purposes of human rights documentation to create a new version of the future by understanding where we are, how we got here, and </w:t>
      </w:r>
      <w:r w:rsidRPr="00AD0021">
        <w:rPr>
          <w:rFonts w:cstheme="minorHAnsi"/>
        </w:rPr>
        <w:t>–</w:t>
      </w:r>
      <w:r w:rsidRPr="00CD4CEA">
        <w:rPr>
          <w:rFonts w:cstheme="minorHAnsi"/>
        </w:rPr>
        <w:t xml:space="preserve"> most importantly </w:t>
      </w:r>
      <w:r w:rsidRPr="00AD0021">
        <w:rPr>
          <w:rFonts w:cstheme="minorHAnsi"/>
        </w:rPr>
        <w:t>–</w:t>
      </w:r>
      <w:r w:rsidRPr="00CD4CEA">
        <w:rPr>
          <w:rFonts w:cstheme="minorHAnsi"/>
        </w:rPr>
        <w:t xml:space="preserve"> learning from this to imagine a different future. While this is a</w:t>
      </w:r>
      <w:r w:rsidR="00A927F6" w:rsidRPr="00CD4CEA">
        <w:rPr>
          <w:rFonts w:cstheme="minorHAnsi"/>
        </w:rPr>
        <w:t>n</w:t>
      </w:r>
      <w:r w:rsidRPr="00CD4CEA">
        <w:rPr>
          <w:rFonts w:cstheme="minorHAnsi"/>
        </w:rPr>
        <w:t xml:space="preserve"> underutilized purpose of current documentation efforts, there is power in using the knowledge provided by documentation efforts to create and imagine new ways o</w:t>
      </w:r>
      <w:r w:rsidR="0086070B">
        <w:rPr>
          <w:rFonts w:cstheme="minorHAnsi"/>
        </w:rPr>
        <w:t xml:space="preserve">f living together in community, to demonstrate what </w:t>
      </w:r>
      <w:r w:rsidR="0086070B">
        <w:rPr>
          <w:rFonts w:cstheme="minorHAnsi"/>
          <w:i/>
        </w:rPr>
        <w:t>could be</w:t>
      </w:r>
      <w:r w:rsidR="0086070B">
        <w:rPr>
          <w:rFonts w:cstheme="minorHAnsi"/>
        </w:rPr>
        <w:t xml:space="preserve"> as well as what shouldn’t be. </w:t>
      </w:r>
    </w:p>
    <w:p w14:paraId="77EBDCAA" w14:textId="77777777" w:rsidR="00E2109E" w:rsidRPr="00CD4CEA" w:rsidRDefault="00E2109E" w:rsidP="00E2109E">
      <w:pPr>
        <w:pStyle w:val="ListParagraph"/>
        <w:ind w:left="1134"/>
        <w:rPr>
          <w:rFonts w:cstheme="minorHAnsi"/>
        </w:rPr>
      </w:pPr>
    </w:p>
    <w:p w14:paraId="2E7D59F9" w14:textId="61F1D77A" w:rsidR="008108C9" w:rsidRPr="00CD4CEA" w:rsidRDefault="001B11A9">
      <w:pPr>
        <w:rPr>
          <w:rFonts w:cstheme="minorHAnsi"/>
        </w:rPr>
      </w:pPr>
      <w:r w:rsidRPr="00CD4CEA">
        <w:rPr>
          <w:rFonts w:cstheme="minorHAnsi"/>
        </w:rPr>
        <w:t>The beauty of human rights documentation is</w:t>
      </w:r>
      <w:r w:rsidR="00A927F6" w:rsidRPr="00CD4CEA">
        <w:rPr>
          <w:rFonts w:cstheme="minorHAnsi"/>
        </w:rPr>
        <w:t xml:space="preserve"> </w:t>
      </w:r>
      <w:r w:rsidRPr="00AD0021">
        <w:rPr>
          <w:rFonts w:cstheme="minorHAnsi"/>
        </w:rPr>
        <w:t>–</w:t>
      </w:r>
      <w:r w:rsidRPr="00CD4CEA">
        <w:rPr>
          <w:rFonts w:cstheme="minorHAnsi"/>
        </w:rPr>
        <w:t xml:space="preserve"> like all forms of information </w:t>
      </w:r>
      <w:r w:rsidRPr="00AD0021">
        <w:rPr>
          <w:rFonts w:cstheme="minorHAnsi"/>
        </w:rPr>
        <w:t>–</w:t>
      </w:r>
      <w:r w:rsidRPr="00CD4CEA">
        <w:rPr>
          <w:rFonts w:cstheme="minorHAnsi"/>
        </w:rPr>
        <w:t xml:space="preserve"> </w:t>
      </w:r>
      <w:r w:rsidR="0003402D" w:rsidRPr="00CD4CEA">
        <w:rPr>
          <w:rFonts w:cstheme="minorHAnsi"/>
        </w:rPr>
        <w:t xml:space="preserve">it </w:t>
      </w:r>
      <w:r w:rsidRPr="00CD4CEA">
        <w:rPr>
          <w:rFonts w:cstheme="minorHAnsi"/>
        </w:rPr>
        <w:t xml:space="preserve">can be used </w:t>
      </w:r>
      <w:r w:rsidR="00A927F6" w:rsidRPr="00CD4CEA">
        <w:rPr>
          <w:rFonts w:cstheme="minorHAnsi"/>
        </w:rPr>
        <w:t xml:space="preserve">in </w:t>
      </w:r>
      <w:r w:rsidRPr="00CD4CEA">
        <w:rPr>
          <w:rFonts w:cstheme="minorHAnsi"/>
        </w:rPr>
        <w:t>multiple ways and in various forms over l</w:t>
      </w:r>
      <w:r w:rsidR="0003402D" w:rsidRPr="00CD4CEA">
        <w:rPr>
          <w:rFonts w:cstheme="minorHAnsi"/>
        </w:rPr>
        <w:t>ong</w:t>
      </w:r>
      <w:r w:rsidRPr="00CD4CEA">
        <w:rPr>
          <w:rFonts w:cstheme="minorHAnsi"/>
        </w:rPr>
        <w:t xml:space="preserve"> periods of time. </w:t>
      </w:r>
      <w:r w:rsidR="00E44490" w:rsidRPr="00CD4CEA">
        <w:rPr>
          <w:rFonts w:cstheme="minorHAnsi"/>
        </w:rPr>
        <w:t>The mid- and long-term usages may not be obvious in the immediate term. Documentation that may first</w:t>
      </w:r>
      <w:r w:rsidR="00A927F6" w:rsidRPr="00CD4CEA">
        <w:rPr>
          <w:rFonts w:cstheme="minorHAnsi"/>
        </w:rPr>
        <w:t xml:space="preserve"> be</w:t>
      </w:r>
      <w:r w:rsidR="00E44490" w:rsidRPr="00CD4CEA">
        <w:rPr>
          <w:rFonts w:cstheme="minorHAnsi"/>
        </w:rPr>
        <w:t xml:space="preserve"> collected to assert agency and establish personal truth may then be used for </w:t>
      </w:r>
      <w:r w:rsidR="00A4739C" w:rsidRPr="00CD4CEA">
        <w:rPr>
          <w:rFonts w:cstheme="minorHAnsi"/>
        </w:rPr>
        <w:t xml:space="preserve">reconciliation and community building purposes, and then for education. </w:t>
      </w:r>
      <w:r w:rsidR="00A507A6" w:rsidRPr="00CD4CEA">
        <w:rPr>
          <w:rFonts w:cstheme="minorHAnsi"/>
        </w:rPr>
        <w:t xml:space="preserve">Video from an awareness-raising documentary could then be used to advocate for a new policy </w:t>
      </w:r>
      <w:r w:rsidR="006035E8" w:rsidRPr="00CD4CEA">
        <w:rPr>
          <w:rFonts w:cstheme="minorHAnsi"/>
        </w:rPr>
        <w:t xml:space="preserve">and then in a criminal prosecution. </w:t>
      </w:r>
    </w:p>
    <w:p w14:paraId="19F174CF" w14:textId="77777777" w:rsidR="00FE5FB9" w:rsidRPr="00CD4CEA" w:rsidRDefault="00FE5FB9" w:rsidP="00FE5FB9">
      <w:pPr>
        <w:rPr>
          <w:rFonts w:cstheme="minorHAnsi"/>
        </w:rPr>
      </w:pPr>
    </w:p>
    <w:p w14:paraId="388B98C6" w14:textId="15E448DA" w:rsidR="00445117" w:rsidRPr="00CD4CEA" w:rsidRDefault="006126BC" w:rsidP="00FE5FB9">
      <w:pPr>
        <w:rPr>
          <w:rFonts w:cstheme="minorHAnsi"/>
        </w:rPr>
      </w:pPr>
      <w:r w:rsidRPr="00AD0021">
        <w:t>\\\\\\\\\\\\\\\\\\\\\\\\\\\\\\\\\\\\\\\\\TEXT</w:t>
      </w:r>
      <w:r w:rsidR="00445117" w:rsidRPr="00CD4CEA">
        <w:rPr>
          <w:rFonts w:cstheme="minorHAnsi"/>
        </w:rPr>
        <w:t xml:space="preserve"> BOX\\\\\\\\\\\\\\\\\\\\\\\\\\\\\\\\\\\\\\\\\\\\\\\\\\\\\</w:t>
      </w:r>
    </w:p>
    <w:p w14:paraId="5F1AEA63" w14:textId="16297ABB" w:rsidR="00FE5FB9" w:rsidRPr="00CD4CEA" w:rsidRDefault="00FE5FB9" w:rsidP="00FE5FB9">
      <w:pPr>
        <w:rPr>
          <w:rFonts w:cstheme="minorHAnsi"/>
        </w:rPr>
      </w:pPr>
      <w:r w:rsidRPr="00CD4CEA">
        <w:rPr>
          <w:rFonts w:cstheme="minorHAnsi"/>
        </w:rPr>
        <w:t>“We can have no idea … what sort of things are going to become history one day. Perhaps the past is still largely undiscovered; it still needs so many retroactive forces for its discovery.”</w:t>
      </w:r>
      <w:r w:rsidRPr="00CD4CEA">
        <w:rPr>
          <w:rStyle w:val="FootnoteReference"/>
          <w:rFonts w:cstheme="minorHAnsi"/>
        </w:rPr>
        <w:footnoteReference w:id="54"/>
      </w:r>
      <w:r w:rsidRPr="00CD4CEA">
        <w:rPr>
          <w:rFonts w:cstheme="minorHAnsi"/>
        </w:rPr>
        <w:t xml:space="preserve"> </w:t>
      </w:r>
    </w:p>
    <w:p w14:paraId="269EB2DB" w14:textId="71CB8B64" w:rsidR="006035E8" w:rsidRPr="00CD4CEA" w:rsidRDefault="006126BC">
      <w:pPr>
        <w:rPr>
          <w:rFonts w:cstheme="minorHAnsi"/>
        </w:rPr>
      </w:pPr>
      <w:r w:rsidRPr="00AD0021">
        <w:t>\\\\\\\\\\\\\\\\\\\\\\\\\\\\\\\\\\\\\\\\\\CLOSE</w:t>
      </w:r>
      <w:r w:rsidR="00445117" w:rsidRPr="00CD4CEA">
        <w:rPr>
          <w:rFonts w:cstheme="minorHAnsi"/>
        </w:rPr>
        <w:t xml:space="preserve"> TEXT BOX\\\\\\\\\\\\\\\\\\\\\\\\\\\\\\\\\\\\\\\\\\\\\</w:t>
      </w:r>
    </w:p>
    <w:p w14:paraId="333CA6EF" w14:textId="77777777" w:rsidR="00445117" w:rsidRPr="00CD4CEA" w:rsidRDefault="00445117">
      <w:pPr>
        <w:rPr>
          <w:rFonts w:cstheme="minorHAnsi"/>
        </w:rPr>
      </w:pPr>
    </w:p>
    <w:p w14:paraId="31403BB3" w14:textId="2420D248" w:rsidR="006035E8" w:rsidRPr="00CD4CEA" w:rsidRDefault="006035E8">
      <w:pPr>
        <w:rPr>
          <w:rFonts w:cstheme="minorHAnsi"/>
          <w:i/>
        </w:rPr>
      </w:pPr>
      <w:r w:rsidRPr="00CD4CEA">
        <w:rPr>
          <w:rFonts w:cstheme="minorHAnsi"/>
        </w:rPr>
        <w:t>Sometimes even the immediate use of documentation isn’t completely obvious. The arc of justice is often in</w:t>
      </w:r>
      <w:r w:rsidR="00D206EC" w:rsidRPr="00CD4CEA">
        <w:rPr>
          <w:rFonts w:cstheme="minorHAnsi"/>
        </w:rPr>
        <w:t xml:space="preserve">credibly long and often </w:t>
      </w:r>
      <w:r w:rsidR="00815106" w:rsidRPr="00CD4CEA">
        <w:rPr>
          <w:rFonts w:cstheme="minorHAnsi"/>
        </w:rPr>
        <w:t xml:space="preserve">feels beyond </w:t>
      </w:r>
      <w:r w:rsidR="00FE5FB9" w:rsidRPr="00CD4CEA">
        <w:rPr>
          <w:rFonts w:cstheme="minorHAnsi"/>
        </w:rPr>
        <w:t>the horizon. However, that doesn’t necessar</w:t>
      </w:r>
      <w:r w:rsidR="00A927F6" w:rsidRPr="00CD4CEA">
        <w:rPr>
          <w:rFonts w:cstheme="minorHAnsi"/>
        </w:rPr>
        <w:t>il</w:t>
      </w:r>
      <w:r w:rsidR="00FE5FB9" w:rsidRPr="00CD4CEA">
        <w:rPr>
          <w:rFonts w:cstheme="minorHAnsi"/>
        </w:rPr>
        <w:t xml:space="preserve">y mean that the purpose won’t emerge. </w:t>
      </w:r>
      <w:r w:rsidR="00643C8A" w:rsidRPr="00CD4CEA">
        <w:rPr>
          <w:rFonts w:cstheme="minorHAnsi"/>
        </w:rPr>
        <w:t xml:space="preserve">When those </w:t>
      </w:r>
      <w:r w:rsidR="00A927F6" w:rsidRPr="00CD4CEA">
        <w:rPr>
          <w:rFonts w:cstheme="minorHAnsi"/>
        </w:rPr>
        <w:t xml:space="preserve">who are </w:t>
      </w:r>
      <w:r w:rsidR="00643C8A" w:rsidRPr="00CD4CEA">
        <w:rPr>
          <w:rFonts w:cstheme="minorHAnsi"/>
        </w:rPr>
        <w:t xml:space="preserve">most affected feel that something is consequential and needs to be documented, that sentiment should be respected and assistance provided. </w:t>
      </w:r>
    </w:p>
    <w:p w14:paraId="083F0817" w14:textId="77777777" w:rsidR="00FE5FB9" w:rsidRPr="00F17564" w:rsidRDefault="00FE5FB9">
      <w:pPr>
        <w:rPr>
          <w:rFonts w:cstheme="minorHAnsi"/>
        </w:rPr>
      </w:pPr>
    </w:p>
    <w:p w14:paraId="75260776" w14:textId="0BF994D7" w:rsidR="00FE5FB9" w:rsidRPr="00CD4CEA" w:rsidRDefault="0003402D">
      <w:pPr>
        <w:rPr>
          <w:rFonts w:cstheme="minorHAnsi"/>
        </w:rPr>
      </w:pPr>
      <w:r w:rsidRPr="00CD4CEA">
        <w:rPr>
          <w:rFonts w:cstheme="minorHAnsi"/>
        </w:rPr>
        <w:lastRenderedPageBreak/>
        <w:t>It is hard to predict what</w:t>
      </w:r>
      <w:r w:rsidR="00FE5FB9" w:rsidRPr="00CD4CEA">
        <w:rPr>
          <w:rFonts w:cstheme="minorHAnsi"/>
        </w:rPr>
        <w:t xml:space="preserve"> the future will hold</w:t>
      </w:r>
      <w:r w:rsidR="00A927F6" w:rsidRPr="00CD4CEA">
        <w:rPr>
          <w:rFonts w:cstheme="minorHAnsi"/>
        </w:rPr>
        <w:t>,</w:t>
      </w:r>
      <w:r w:rsidR="00FE5FB9" w:rsidRPr="00CD4CEA">
        <w:rPr>
          <w:rFonts w:cstheme="minorHAnsi"/>
        </w:rPr>
        <w:t xml:space="preserve"> how political will </w:t>
      </w:r>
      <w:r w:rsidR="00554ABC" w:rsidRPr="00CD4CEA">
        <w:rPr>
          <w:rFonts w:cstheme="minorHAnsi"/>
        </w:rPr>
        <w:t>might shift</w:t>
      </w:r>
      <w:r w:rsidR="00A927F6" w:rsidRPr="00CD4CEA">
        <w:rPr>
          <w:rFonts w:cstheme="minorHAnsi"/>
        </w:rPr>
        <w:t>,</w:t>
      </w:r>
      <w:r w:rsidR="00554ABC" w:rsidRPr="00CD4CEA">
        <w:rPr>
          <w:rFonts w:cstheme="minorHAnsi"/>
        </w:rPr>
        <w:t xml:space="preserve"> and what opportunities may unfold</w:t>
      </w:r>
      <w:r w:rsidRPr="00CD4CEA">
        <w:rPr>
          <w:rFonts w:cstheme="minorHAnsi"/>
        </w:rPr>
        <w:t xml:space="preserve"> as a consequence</w:t>
      </w:r>
      <w:r w:rsidR="00554ABC" w:rsidRPr="00CD4CEA">
        <w:rPr>
          <w:rFonts w:cstheme="minorHAnsi"/>
        </w:rPr>
        <w:t>. Often</w:t>
      </w:r>
      <w:r w:rsidRPr="00CD4CEA">
        <w:rPr>
          <w:rFonts w:cstheme="minorHAnsi"/>
        </w:rPr>
        <w:t>,</w:t>
      </w:r>
      <w:r w:rsidR="00554ABC" w:rsidRPr="00CD4CEA">
        <w:rPr>
          <w:rFonts w:cstheme="minorHAnsi"/>
        </w:rPr>
        <w:t xml:space="preserve"> when we are in </w:t>
      </w:r>
      <w:r w:rsidR="00554ABC" w:rsidRPr="0086070B">
        <w:rPr>
          <w:rFonts w:cstheme="minorHAnsi"/>
        </w:rPr>
        <w:t>intractable</w:t>
      </w:r>
      <w:r w:rsidR="00554ABC" w:rsidRPr="00CD4CEA">
        <w:rPr>
          <w:rFonts w:cstheme="minorHAnsi"/>
        </w:rPr>
        <w:t xml:space="preserve"> situations</w:t>
      </w:r>
      <w:r w:rsidR="005458B9" w:rsidRPr="00CD4CEA">
        <w:rPr>
          <w:rFonts w:cstheme="minorHAnsi"/>
        </w:rPr>
        <w:t xml:space="preserve"> </w:t>
      </w:r>
      <w:r w:rsidR="00554ABC" w:rsidRPr="00CD4CEA">
        <w:rPr>
          <w:rFonts w:cstheme="minorHAnsi"/>
        </w:rPr>
        <w:t>whe</w:t>
      </w:r>
      <w:r w:rsidRPr="00CD4CEA">
        <w:rPr>
          <w:rFonts w:cstheme="minorHAnsi"/>
        </w:rPr>
        <w:t>re</w:t>
      </w:r>
      <w:r w:rsidR="00554ABC" w:rsidRPr="00CD4CEA">
        <w:rPr>
          <w:rFonts w:cstheme="minorHAnsi"/>
        </w:rPr>
        <w:t xml:space="preserve"> solutions do not seem immediately forthcoming, the tide shifts and opportunitie</w:t>
      </w:r>
      <w:r w:rsidR="00643C8A" w:rsidRPr="00CD4CEA">
        <w:rPr>
          <w:rFonts w:cstheme="minorHAnsi"/>
        </w:rPr>
        <w:t xml:space="preserve">s </w:t>
      </w:r>
      <w:r w:rsidRPr="00CD4CEA">
        <w:rPr>
          <w:rFonts w:cstheme="minorHAnsi"/>
        </w:rPr>
        <w:t xml:space="preserve">may unexpectedly </w:t>
      </w:r>
      <w:r w:rsidR="00643C8A" w:rsidRPr="00CD4CEA">
        <w:rPr>
          <w:rFonts w:cstheme="minorHAnsi"/>
        </w:rPr>
        <w:t>reveal themselves. The increasing willingness of states to use universal jurisdiction to prosecute perpetrators of Syrian human rights abuses</w:t>
      </w:r>
      <w:r w:rsidR="00E2109E" w:rsidRPr="00CD4CEA">
        <w:rPr>
          <w:rFonts w:cstheme="minorHAnsi"/>
        </w:rPr>
        <w:t>, for example,</w:t>
      </w:r>
      <w:r w:rsidR="00643C8A" w:rsidRPr="00CD4CEA">
        <w:rPr>
          <w:rFonts w:cstheme="minorHAnsi"/>
        </w:rPr>
        <w:t xml:space="preserve"> shows that even in seemingly </w:t>
      </w:r>
      <w:r w:rsidR="00643C8A" w:rsidRPr="0086070B">
        <w:rPr>
          <w:rFonts w:cstheme="minorHAnsi"/>
        </w:rPr>
        <w:t>intractable</w:t>
      </w:r>
      <w:r w:rsidR="00643C8A" w:rsidRPr="00CD4CEA">
        <w:rPr>
          <w:rFonts w:cstheme="minorHAnsi"/>
        </w:rPr>
        <w:t xml:space="preserve"> conflicts, opportunities for leverage and change exist – and are often only made possible by early documentation efforts.  </w:t>
      </w:r>
    </w:p>
    <w:p w14:paraId="4EF9210B" w14:textId="77777777" w:rsidR="00E2109E" w:rsidRPr="00CD4CEA" w:rsidRDefault="00E2109E">
      <w:pPr>
        <w:rPr>
          <w:rFonts w:cstheme="minorHAnsi"/>
        </w:rPr>
      </w:pPr>
    </w:p>
    <w:p w14:paraId="4675817B" w14:textId="78254047" w:rsidR="00E2109E" w:rsidRPr="00CD4CEA" w:rsidRDefault="00E2109E">
      <w:pPr>
        <w:rPr>
          <w:rFonts w:cstheme="minorHAnsi"/>
        </w:rPr>
      </w:pPr>
      <w:r w:rsidRPr="00CD4CEA">
        <w:rPr>
          <w:rFonts w:cstheme="minorHAnsi"/>
        </w:rPr>
        <w:t>Documentation is a strategic action. What isn’t collected or documented now is harder to collect in the future. As we can see from the above</w:t>
      </w:r>
      <w:r w:rsidR="004D6780">
        <w:rPr>
          <w:rFonts w:cstheme="minorHAnsi"/>
        </w:rPr>
        <w:t>,</w:t>
      </w:r>
      <w:r w:rsidRPr="00CD4CEA">
        <w:rPr>
          <w:rFonts w:cstheme="minorHAnsi"/>
        </w:rPr>
        <w:t xml:space="preserve"> there are a range of remedies for injustice, but all of them require the baseline information and knowledge creation that documentation efforts provide. </w:t>
      </w:r>
    </w:p>
    <w:p w14:paraId="24F52766" w14:textId="77777777" w:rsidR="00E2109E" w:rsidRPr="00CD4CEA" w:rsidRDefault="00E2109E" w:rsidP="00E2109E">
      <w:pPr>
        <w:rPr>
          <w:rFonts w:cstheme="minorHAnsi"/>
        </w:rPr>
      </w:pPr>
    </w:p>
    <w:p w14:paraId="180BA311" w14:textId="77777777" w:rsidR="002774B1" w:rsidRPr="00CD4CEA" w:rsidRDefault="002774B1">
      <w:pPr>
        <w:rPr>
          <w:rFonts w:cstheme="minorHAnsi"/>
        </w:rPr>
      </w:pPr>
      <w:r w:rsidRPr="00CD4CEA">
        <w:rPr>
          <w:rFonts w:cstheme="minorHAnsi"/>
        </w:rPr>
        <w:br w:type="page"/>
      </w:r>
    </w:p>
    <w:p w14:paraId="117B7681" w14:textId="14BC2E1D" w:rsidR="002774B1" w:rsidRPr="00CD4CEA" w:rsidRDefault="00D9317A" w:rsidP="002774B1">
      <w:pPr>
        <w:rPr>
          <w:rFonts w:cstheme="minorHAnsi"/>
          <w:b/>
          <w:bCs/>
        </w:rPr>
      </w:pPr>
      <w:r w:rsidRPr="00CD4CEA">
        <w:rPr>
          <w:rFonts w:cstheme="minorHAnsi"/>
          <w:b/>
          <w:bCs/>
          <w:smallCaps/>
        </w:rPr>
        <w:lastRenderedPageBreak/>
        <w:t>IV</w:t>
      </w:r>
      <w:r w:rsidR="00D206EC" w:rsidRPr="00CD4CEA">
        <w:rPr>
          <w:rFonts w:cstheme="minorHAnsi"/>
          <w:b/>
          <w:bCs/>
          <w:smallCaps/>
        </w:rPr>
        <w:t xml:space="preserve">. </w:t>
      </w:r>
      <w:r w:rsidRPr="00CD4CEA">
        <w:rPr>
          <w:rFonts w:cstheme="minorHAnsi"/>
          <w:b/>
          <w:bCs/>
          <w:smallCaps/>
        </w:rPr>
        <w:t>Practicalities of Documentation</w:t>
      </w:r>
      <w:r w:rsidR="00931362" w:rsidRPr="00CD4CEA">
        <w:rPr>
          <w:rFonts w:cstheme="minorHAnsi"/>
          <w:b/>
          <w:bCs/>
          <w:smallCaps/>
        </w:rPr>
        <w:t xml:space="preserve"> (or Should You Be Documenting?)</w:t>
      </w:r>
      <w:r w:rsidR="00F969CE" w:rsidRPr="00CD4CEA">
        <w:rPr>
          <w:rStyle w:val="FootnoteReference"/>
          <w:rFonts w:cstheme="minorHAnsi"/>
          <w:b/>
          <w:bCs/>
        </w:rPr>
        <w:footnoteReference w:id="55"/>
      </w:r>
    </w:p>
    <w:p w14:paraId="487DF699" w14:textId="77777777" w:rsidR="00D9317A" w:rsidRPr="00CD4CEA" w:rsidRDefault="00D9317A" w:rsidP="002774B1">
      <w:pPr>
        <w:rPr>
          <w:rFonts w:cstheme="minorHAnsi"/>
          <w:b/>
          <w:bCs/>
        </w:rPr>
      </w:pPr>
    </w:p>
    <w:p w14:paraId="3B556475" w14:textId="7AA8CD8D" w:rsidR="00E30742" w:rsidRPr="00CD4CEA" w:rsidRDefault="002774B1" w:rsidP="002774B1">
      <w:pPr>
        <w:rPr>
          <w:rFonts w:cstheme="minorHAnsi"/>
        </w:rPr>
      </w:pPr>
      <w:r w:rsidRPr="00CD4CEA">
        <w:rPr>
          <w:rFonts w:cstheme="minorHAnsi"/>
        </w:rPr>
        <w:t xml:space="preserve">As </w:t>
      </w:r>
      <w:r w:rsidR="00931362" w:rsidRPr="00CD4CEA">
        <w:rPr>
          <w:rFonts w:cstheme="minorHAnsi"/>
        </w:rPr>
        <w:t>demonstrated</w:t>
      </w:r>
      <w:r w:rsidRPr="00CD4CEA">
        <w:rPr>
          <w:rFonts w:cstheme="minorHAnsi"/>
        </w:rPr>
        <w:t xml:space="preserve"> in the previous sections, documenting human rights violations can successfully serve multiple purposes</w:t>
      </w:r>
      <w:r w:rsidR="00931362" w:rsidRPr="00CD4CEA">
        <w:rPr>
          <w:rFonts w:cstheme="minorHAnsi"/>
        </w:rPr>
        <w:t>,</w:t>
      </w:r>
      <w:r w:rsidRPr="00CD4CEA">
        <w:rPr>
          <w:rFonts w:cstheme="minorHAnsi"/>
        </w:rPr>
        <w:t xml:space="preserve"> fulfil</w:t>
      </w:r>
      <w:r w:rsidR="00931362" w:rsidRPr="00CD4CEA">
        <w:rPr>
          <w:rFonts w:cstheme="minorHAnsi"/>
        </w:rPr>
        <w:t>ling</w:t>
      </w:r>
      <w:r w:rsidRPr="00CD4CEA">
        <w:rPr>
          <w:rFonts w:cstheme="minorHAnsi"/>
        </w:rPr>
        <w:t xml:space="preserve"> varied aims</w:t>
      </w:r>
      <w:r w:rsidR="00931362" w:rsidRPr="00CD4CEA">
        <w:rPr>
          <w:rFonts w:cstheme="minorHAnsi"/>
        </w:rPr>
        <w:t xml:space="preserve"> both</w:t>
      </w:r>
      <w:r w:rsidR="00E30742" w:rsidRPr="00CD4CEA">
        <w:rPr>
          <w:rFonts w:cstheme="minorHAnsi"/>
        </w:rPr>
        <w:t xml:space="preserve"> in the immediate term and far into the future</w:t>
      </w:r>
      <w:r w:rsidRPr="00CD4CEA">
        <w:rPr>
          <w:rFonts w:cstheme="minorHAnsi"/>
        </w:rPr>
        <w:t xml:space="preserve">. </w:t>
      </w:r>
      <w:r w:rsidR="00931362" w:rsidRPr="00CD4CEA">
        <w:rPr>
          <w:rFonts w:cstheme="minorHAnsi"/>
        </w:rPr>
        <w:t>T</w:t>
      </w:r>
      <w:r w:rsidRPr="00CD4CEA">
        <w:rPr>
          <w:rFonts w:cstheme="minorHAnsi"/>
        </w:rPr>
        <w:t>his section will explor</w:t>
      </w:r>
      <w:r w:rsidR="00E30742" w:rsidRPr="00CD4CEA">
        <w:rPr>
          <w:rFonts w:cstheme="minorHAnsi"/>
        </w:rPr>
        <w:t>e the practicalitie</w:t>
      </w:r>
      <w:r w:rsidR="00F969CE" w:rsidRPr="00CD4CEA">
        <w:rPr>
          <w:rFonts w:cstheme="minorHAnsi"/>
        </w:rPr>
        <w:t>s of a documentation initiative, and whether you should or should not start one.</w:t>
      </w:r>
      <w:r w:rsidR="009265F3" w:rsidRPr="00CD4CEA">
        <w:rPr>
          <w:rStyle w:val="FootnoteReference"/>
          <w:rFonts w:cstheme="minorHAnsi"/>
        </w:rPr>
        <w:footnoteReference w:id="56"/>
      </w:r>
    </w:p>
    <w:p w14:paraId="1994C07A" w14:textId="77777777" w:rsidR="00284E96" w:rsidRPr="00CD4CEA" w:rsidRDefault="00284E96" w:rsidP="002774B1">
      <w:pPr>
        <w:rPr>
          <w:rFonts w:cstheme="minorHAnsi"/>
        </w:rPr>
      </w:pPr>
    </w:p>
    <w:p w14:paraId="55FBAF4C" w14:textId="4607DF42" w:rsidR="00E30742" w:rsidRPr="00CD4CEA" w:rsidRDefault="00E30742" w:rsidP="002774B1">
      <w:pPr>
        <w:rPr>
          <w:rFonts w:cstheme="minorHAnsi"/>
        </w:rPr>
      </w:pPr>
      <w:r w:rsidRPr="00CD4CEA">
        <w:rPr>
          <w:rFonts w:cstheme="minorHAnsi"/>
        </w:rPr>
        <w:t>Documentation is an action</w:t>
      </w:r>
      <w:r w:rsidR="00EB4AD9">
        <w:rPr>
          <w:rFonts w:cstheme="minorHAnsi"/>
        </w:rPr>
        <w:t xml:space="preserve"> that</w:t>
      </w:r>
      <w:r w:rsidRPr="00CD4CEA">
        <w:rPr>
          <w:rFonts w:cstheme="minorHAnsi"/>
        </w:rPr>
        <w:t xml:space="preserve"> can have</w:t>
      </w:r>
      <w:r w:rsidR="00F02ED9" w:rsidRPr="00CD4CEA">
        <w:rPr>
          <w:rFonts w:cstheme="minorHAnsi"/>
        </w:rPr>
        <w:t xml:space="preserve"> both</w:t>
      </w:r>
      <w:r w:rsidRPr="00CD4CEA">
        <w:rPr>
          <w:rFonts w:cstheme="minorHAnsi"/>
        </w:rPr>
        <w:t xml:space="preserve"> positive and negative effects</w:t>
      </w:r>
      <w:r w:rsidR="00F02ED9" w:rsidRPr="00CD4CEA">
        <w:rPr>
          <w:rFonts w:cstheme="minorHAnsi"/>
        </w:rPr>
        <w:t xml:space="preserve">. As with any and every action, the opportunities that come with documenting need to be balanced against the risks. </w:t>
      </w:r>
      <w:r w:rsidRPr="00CD4CEA">
        <w:rPr>
          <w:rFonts w:cstheme="minorHAnsi"/>
        </w:rPr>
        <w:t>Your efforts should be ethical, respectful, responsible</w:t>
      </w:r>
      <w:r w:rsidR="00EB4AD9">
        <w:rPr>
          <w:rFonts w:cstheme="minorHAnsi"/>
        </w:rPr>
        <w:t>,</w:t>
      </w:r>
      <w:r w:rsidRPr="00CD4CEA">
        <w:rPr>
          <w:rFonts w:cstheme="minorHAnsi"/>
        </w:rPr>
        <w:t xml:space="preserve"> and most importantly, meaningful for affected victims. To ensure that your documentation efforts are net positive, you need to understand the broader context in which you want to document and your role in it. Documentation can be broken down into six specific actions </w:t>
      </w:r>
      <w:r w:rsidR="00F02ED9" w:rsidRPr="00CD4CEA">
        <w:rPr>
          <w:rFonts w:cstheme="minorHAnsi"/>
        </w:rPr>
        <w:t>that will be explored</w:t>
      </w:r>
      <w:r w:rsidRPr="00CD4CEA">
        <w:rPr>
          <w:rFonts w:cstheme="minorHAnsi"/>
        </w:rPr>
        <w:t xml:space="preserve"> in this section. </w:t>
      </w:r>
    </w:p>
    <w:p w14:paraId="3380EBCC" w14:textId="77777777" w:rsidR="002774B1" w:rsidRPr="00CD4CEA" w:rsidRDefault="002774B1" w:rsidP="002774B1">
      <w:pPr>
        <w:rPr>
          <w:rFonts w:cstheme="minorHAnsi"/>
        </w:rPr>
      </w:pPr>
    </w:p>
    <w:p w14:paraId="73E2CE3E" w14:textId="7434935E" w:rsidR="00D9317A" w:rsidRPr="00CD4CEA" w:rsidRDefault="00D9317A" w:rsidP="00D9317A">
      <w:pPr>
        <w:jc w:val="center"/>
        <w:rPr>
          <w:rFonts w:cstheme="minorHAnsi"/>
          <w:sz w:val="28"/>
          <w:szCs w:val="28"/>
        </w:rPr>
      </w:pPr>
      <w:r w:rsidRPr="00CD4CEA">
        <w:rPr>
          <w:rFonts w:cstheme="minorHAnsi"/>
          <w:sz w:val="28"/>
          <w:szCs w:val="28"/>
        </w:rPr>
        <w:t xml:space="preserve">PLAN </w:t>
      </w:r>
      <w:r w:rsidRPr="00CD4CEA">
        <w:rPr>
          <w:rFonts w:cstheme="minorHAnsi"/>
          <w:sz w:val="28"/>
          <w:szCs w:val="28"/>
        </w:rPr>
        <w:sym w:font="Wingdings" w:char="F0E0"/>
      </w:r>
      <w:r w:rsidRPr="00CD4CEA">
        <w:rPr>
          <w:rFonts w:cstheme="minorHAnsi"/>
          <w:sz w:val="28"/>
          <w:szCs w:val="28"/>
        </w:rPr>
        <w:t xml:space="preserve"> COLLECT </w:t>
      </w:r>
      <w:r w:rsidRPr="00CD4CEA">
        <w:rPr>
          <w:rFonts w:cstheme="minorHAnsi"/>
          <w:sz w:val="28"/>
          <w:szCs w:val="28"/>
        </w:rPr>
        <w:sym w:font="Wingdings" w:char="F0E0"/>
      </w:r>
      <w:r w:rsidRPr="00CD4CEA">
        <w:rPr>
          <w:rFonts w:cstheme="minorHAnsi"/>
          <w:sz w:val="28"/>
          <w:szCs w:val="28"/>
        </w:rPr>
        <w:t xml:space="preserve"> </w:t>
      </w:r>
      <w:r w:rsidR="002F7DC4" w:rsidRPr="00CD4CEA">
        <w:rPr>
          <w:rFonts w:cstheme="minorHAnsi"/>
          <w:sz w:val="28"/>
          <w:szCs w:val="28"/>
        </w:rPr>
        <w:t xml:space="preserve">STORE </w:t>
      </w:r>
      <w:r w:rsidR="002F7DC4" w:rsidRPr="00CD4CEA">
        <w:rPr>
          <w:rFonts w:cstheme="minorHAnsi"/>
          <w:sz w:val="28"/>
          <w:szCs w:val="28"/>
        </w:rPr>
        <w:sym w:font="Wingdings" w:char="F0E0"/>
      </w:r>
      <w:r w:rsidR="002F7DC4" w:rsidRPr="00CD4CEA">
        <w:rPr>
          <w:rFonts w:cstheme="minorHAnsi"/>
          <w:sz w:val="28"/>
          <w:szCs w:val="28"/>
        </w:rPr>
        <w:t xml:space="preserve"> </w:t>
      </w:r>
      <w:r w:rsidRPr="00CD4CEA">
        <w:rPr>
          <w:rFonts w:cstheme="minorHAnsi"/>
          <w:sz w:val="28"/>
          <w:szCs w:val="28"/>
        </w:rPr>
        <w:t>VERIFY</w:t>
      </w:r>
      <w:r w:rsidRPr="00CD4CEA">
        <w:rPr>
          <w:rFonts w:cstheme="minorHAnsi"/>
          <w:sz w:val="28"/>
          <w:szCs w:val="28"/>
        </w:rPr>
        <w:sym w:font="Wingdings" w:char="F0E0"/>
      </w:r>
      <w:r w:rsidRPr="00CD4CEA">
        <w:rPr>
          <w:rFonts w:cstheme="minorHAnsi"/>
          <w:sz w:val="28"/>
          <w:szCs w:val="28"/>
        </w:rPr>
        <w:t xml:space="preserve"> ANALYZE </w:t>
      </w:r>
      <w:r w:rsidRPr="00CD4CEA">
        <w:rPr>
          <w:rFonts w:cstheme="minorHAnsi"/>
          <w:sz w:val="28"/>
          <w:szCs w:val="28"/>
        </w:rPr>
        <w:sym w:font="Wingdings" w:char="F0E0"/>
      </w:r>
      <w:r w:rsidRPr="00CD4CEA">
        <w:rPr>
          <w:rFonts w:cstheme="minorHAnsi"/>
          <w:sz w:val="28"/>
          <w:szCs w:val="28"/>
        </w:rPr>
        <w:t xml:space="preserve"> SHARE</w:t>
      </w:r>
    </w:p>
    <w:p w14:paraId="5F0F1842" w14:textId="77777777" w:rsidR="00D9317A" w:rsidRPr="00CD4CEA" w:rsidRDefault="00D9317A" w:rsidP="002774B1">
      <w:pPr>
        <w:rPr>
          <w:rFonts w:cstheme="minorHAnsi"/>
        </w:rPr>
      </w:pPr>
    </w:p>
    <w:p w14:paraId="61228001" w14:textId="77777777" w:rsidR="00E30742" w:rsidRPr="00CD4CEA" w:rsidRDefault="00E30742" w:rsidP="002774B1">
      <w:pPr>
        <w:rPr>
          <w:rFonts w:cstheme="minorHAnsi"/>
        </w:rPr>
      </w:pPr>
    </w:p>
    <w:p w14:paraId="03959303" w14:textId="77777777" w:rsidR="002774B1" w:rsidRPr="00CD4CEA" w:rsidRDefault="00D9317A" w:rsidP="002774B1">
      <w:pPr>
        <w:rPr>
          <w:rFonts w:cstheme="minorHAnsi"/>
          <w:b/>
        </w:rPr>
      </w:pPr>
      <w:r w:rsidRPr="00CD4CEA">
        <w:rPr>
          <w:rFonts w:cstheme="minorHAnsi"/>
          <w:b/>
        </w:rPr>
        <w:t>Plan</w:t>
      </w:r>
      <w:r w:rsidR="00F969CE" w:rsidRPr="00CD4CEA">
        <w:rPr>
          <w:rStyle w:val="FootnoteReference"/>
          <w:rFonts w:cstheme="minorHAnsi"/>
          <w:b/>
        </w:rPr>
        <w:footnoteReference w:id="57"/>
      </w:r>
      <w:r w:rsidRPr="00CD4CEA">
        <w:rPr>
          <w:rFonts w:cstheme="minorHAnsi"/>
          <w:b/>
        </w:rPr>
        <w:t xml:space="preserve"> </w:t>
      </w:r>
    </w:p>
    <w:p w14:paraId="1C359C1B" w14:textId="5949A253" w:rsidR="00A4406E" w:rsidRPr="00CD4CEA" w:rsidRDefault="00A4406E" w:rsidP="002774B1">
      <w:pPr>
        <w:rPr>
          <w:rFonts w:cstheme="minorHAnsi"/>
        </w:rPr>
      </w:pPr>
      <w:r w:rsidRPr="00CD4CEA">
        <w:rPr>
          <w:rFonts w:cstheme="minorHAnsi"/>
        </w:rPr>
        <w:t>Being responsible when it comes to data isn’t only about complying with a set of predefined rules. It’s about balancing the opportunities against the risks: only collecting what we need (data minimization) or working with partners who may be better placed to collect the data that’s needed; being clear about the data you keep (and why) and the data you never collect; understanding who might be highlighted in the data you have, and who is missing from it.</w:t>
      </w:r>
    </w:p>
    <w:p w14:paraId="4FB26C42" w14:textId="77777777" w:rsidR="002774B1" w:rsidRPr="00CD4CEA" w:rsidRDefault="002774B1" w:rsidP="002774B1">
      <w:pPr>
        <w:rPr>
          <w:rFonts w:cstheme="minorHAnsi"/>
        </w:rPr>
      </w:pPr>
    </w:p>
    <w:p w14:paraId="0AEFFF84" w14:textId="370CB9A0" w:rsidR="002774B1" w:rsidRPr="00CD4CEA" w:rsidRDefault="002774B1" w:rsidP="002774B1">
      <w:pPr>
        <w:rPr>
          <w:rFonts w:cstheme="minorHAnsi"/>
        </w:rPr>
      </w:pPr>
      <w:r w:rsidRPr="00CD4CEA">
        <w:rPr>
          <w:rFonts w:cstheme="minorHAnsi"/>
          <w:b/>
        </w:rPr>
        <w:t>Why are you doing this?</w:t>
      </w:r>
      <w:r w:rsidRPr="00CD4CEA">
        <w:rPr>
          <w:rFonts w:cstheme="minorHAnsi"/>
        </w:rPr>
        <w:t xml:space="preserve"> Documenting for documentation’s sake may </w:t>
      </w:r>
      <w:r w:rsidR="00F10752" w:rsidRPr="00CD4CEA">
        <w:rPr>
          <w:rFonts w:cstheme="minorHAnsi"/>
        </w:rPr>
        <w:t>is not</w:t>
      </w:r>
      <w:r w:rsidRPr="00CD4CEA">
        <w:rPr>
          <w:rFonts w:cstheme="minorHAnsi"/>
        </w:rPr>
        <w:t xml:space="preserve"> the best course of action. Before you start it</w:t>
      </w:r>
      <w:r w:rsidR="000D109C" w:rsidRPr="00CD4CEA">
        <w:rPr>
          <w:rFonts w:cstheme="minorHAnsi"/>
        </w:rPr>
        <w:t xml:space="preserve"> is</w:t>
      </w:r>
      <w:r w:rsidRPr="00CD4CEA">
        <w:rPr>
          <w:rFonts w:cstheme="minorHAnsi"/>
        </w:rPr>
        <w:t xml:space="preserve"> important to spend time working through your reasons, motivations, and goals for documenting human rights violations. </w:t>
      </w:r>
    </w:p>
    <w:p w14:paraId="342A0EC5" w14:textId="77777777" w:rsidR="002774B1" w:rsidRPr="00CD4CEA" w:rsidRDefault="002774B1" w:rsidP="002774B1">
      <w:pPr>
        <w:rPr>
          <w:rFonts w:cstheme="minorHAnsi"/>
        </w:rPr>
      </w:pPr>
    </w:p>
    <w:p w14:paraId="4C856EA9" w14:textId="7E39F002" w:rsidR="002774B1" w:rsidRPr="00CD4CEA" w:rsidRDefault="002774B1" w:rsidP="002774B1">
      <w:pPr>
        <w:rPr>
          <w:rFonts w:cstheme="minorHAnsi"/>
        </w:rPr>
      </w:pPr>
      <w:r w:rsidRPr="00CD4CEA">
        <w:rPr>
          <w:rFonts w:cstheme="minorHAnsi"/>
        </w:rPr>
        <w:t xml:space="preserve">In the </w:t>
      </w:r>
      <w:r w:rsidRPr="00CD4CEA">
        <w:rPr>
          <w:rFonts w:cstheme="minorHAnsi"/>
          <w:i/>
        </w:rPr>
        <w:t>Responsible O</w:t>
      </w:r>
      <w:r w:rsidR="00F10752" w:rsidRPr="00CD4CEA">
        <w:rPr>
          <w:rFonts w:cstheme="minorHAnsi"/>
          <w:i/>
        </w:rPr>
        <w:t>pen Source Investigations</w:t>
      </w:r>
      <w:r w:rsidRPr="00CD4CEA">
        <w:rPr>
          <w:rFonts w:cstheme="minorHAnsi"/>
          <w:i/>
        </w:rPr>
        <w:t xml:space="preserve"> Workbook</w:t>
      </w:r>
      <w:r w:rsidRPr="00CD4CEA">
        <w:rPr>
          <w:rFonts w:cstheme="minorHAnsi"/>
        </w:rPr>
        <w:t xml:space="preserve">, Gabriela </w:t>
      </w:r>
      <w:proofErr w:type="spellStart"/>
      <w:r w:rsidRPr="00CD4CEA">
        <w:rPr>
          <w:rFonts w:cstheme="minorHAnsi"/>
        </w:rPr>
        <w:t>Ivens</w:t>
      </w:r>
      <w:proofErr w:type="spellEnd"/>
      <w:r w:rsidRPr="00CD4CEA">
        <w:rPr>
          <w:rFonts w:cstheme="minorHAnsi"/>
        </w:rPr>
        <w:t xml:space="preserve"> and Sam Dubberley provide an essential step-by-step mapping process to uncover your “why</w:t>
      </w:r>
      <w:r w:rsidR="00EB4AD9">
        <w:rPr>
          <w:rFonts w:cstheme="minorHAnsi"/>
        </w:rPr>
        <w:t>.</w:t>
      </w:r>
      <w:r w:rsidRPr="00CD4CEA">
        <w:rPr>
          <w:rFonts w:cstheme="minorHAnsi"/>
        </w:rPr>
        <w:t>”</w:t>
      </w:r>
      <w:r w:rsidR="00284E96" w:rsidRPr="00CD4CEA">
        <w:rPr>
          <w:rStyle w:val="FootnoteReference"/>
          <w:rFonts w:cstheme="minorHAnsi"/>
        </w:rPr>
        <w:footnoteReference w:id="58"/>
      </w:r>
      <w:r w:rsidRPr="00CD4CEA">
        <w:rPr>
          <w:rFonts w:cstheme="minorHAnsi"/>
        </w:rPr>
        <w:t xml:space="preserve"> While the authors have focused specifically on open source investigations in this workbook, their exercises are an imperative foundation for any documentation effort. Notably, they start with a values exercise that determines the values that you and the people you are working with find most important and that will guide your documentation efforts.  </w:t>
      </w:r>
    </w:p>
    <w:p w14:paraId="35F33418" w14:textId="77777777" w:rsidR="002774B1" w:rsidRPr="00CD4CEA" w:rsidRDefault="002774B1" w:rsidP="002774B1">
      <w:pPr>
        <w:rPr>
          <w:rFonts w:cstheme="minorHAnsi"/>
        </w:rPr>
      </w:pPr>
    </w:p>
    <w:p w14:paraId="4E22495F" w14:textId="77BE6629" w:rsidR="002774B1" w:rsidRPr="00CD4CEA" w:rsidRDefault="002774B1" w:rsidP="002774B1">
      <w:pPr>
        <w:rPr>
          <w:rFonts w:cstheme="minorHAnsi"/>
        </w:rPr>
      </w:pPr>
      <w:r w:rsidRPr="00CD4CEA">
        <w:rPr>
          <w:rFonts w:cstheme="minorHAnsi"/>
        </w:rPr>
        <w:t xml:space="preserve">It then moves into your goals for this work. Goal-setting at this stage is important as the process that you will undertake is different depending on how you want your documentation to be used. For example, the standards and processes you will use if you want your documentation to be used in a court of law differ from those you would use for a media campaign. They provide three questions: </w:t>
      </w:r>
    </w:p>
    <w:p w14:paraId="14659463" w14:textId="77777777" w:rsidR="002774B1" w:rsidRPr="00CD4CEA" w:rsidRDefault="002774B1" w:rsidP="002774B1">
      <w:pPr>
        <w:rPr>
          <w:rFonts w:cstheme="minorHAnsi"/>
        </w:rPr>
      </w:pPr>
    </w:p>
    <w:p w14:paraId="17FA4966" w14:textId="77777777" w:rsidR="002774B1" w:rsidRPr="00CD4CEA" w:rsidRDefault="002774B1" w:rsidP="002774B1">
      <w:pPr>
        <w:pStyle w:val="ListParagraph"/>
        <w:numPr>
          <w:ilvl w:val="0"/>
          <w:numId w:val="13"/>
        </w:numPr>
        <w:rPr>
          <w:rFonts w:cstheme="minorHAnsi"/>
        </w:rPr>
      </w:pPr>
      <w:r w:rsidRPr="00CD4CEA">
        <w:rPr>
          <w:rFonts w:cstheme="minorHAnsi"/>
        </w:rPr>
        <w:t xml:space="preserve">What is your end goal? </w:t>
      </w:r>
    </w:p>
    <w:p w14:paraId="77DE80B4" w14:textId="77777777" w:rsidR="002774B1" w:rsidRPr="00CD4CEA" w:rsidRDefault="002774B1" w:rsidP="002774B1">
      <w:pPr>
        <w:pStyle w:val="ListParagraph"/>
        <w:numPr>
          <w:ilvl w:val="0"/>
          <w:numId w:val="13"/>
        </w:numPr>
        <w:rPr>
          <w:rFonts w:cstheme="minorHAnsi"/>
        </w:rPr>
      </w:pPr>
      <w:r w:rsidRPr="00CD4CEA">
        <w:rPr>
          <w:rFonts w:cstheme="minorHAnsi"/>
        </w:rPr>
        <w:t xml:space="preserve">How will you know if you have reached it? </w:t>
      </w:r>
    </w:p>
    <w:p w14:paraId="2DFC7181" w14:textId="77777777" w:rsidR="002774B1" w:rsidRPr="00CD4CEA" w:rsidRDefault="002774B1" w:rsidP="002774B1">
      <w:pPr>
        <w:pStyle w:val="ListParagraph"/>
        <w:numPr>
          <w:ilvl w:val="0"/>
          <w:numId w:val="13"/>
        </w:numPr>
        <w:rPr>
          <w:rFonts w:cstheme="minorHAnsi"/>
        </w:rPr>
      </w:pPr>
      <w:r w:rsidRPr="00CD4CEA">
        <w:rPr>
          <w:rFonts w:cstheme="minorHAnsi"/>
        </w:rPr>
        <w:t xml:space="preserve">Why are you the right group or person to do this work? </w:t>
      </w:r>
    </w:p>
    <w:p w14:paraId="489B1BEF" w14:textId="77777777" w:rsidR="002774B1" w:rsidRPr="00CD4CEA" w:rsidRDefault="002774B1" w:rsidP="002774B1">
      <w:pPr>
        <w:pStyle w:val="ListParagraph"/>
        <w:rPr>
          <w:rFonts w:cstheme="minorHAnsi"/>
        </w:rPr>
      </w:pPr>
    </w:p>
    <w:p w14:paraId="018B70E7" w14:textId="7A284E23" w:rsidR="002774B1" w:rsidRPr="00CD4CEA" w:rsidRDefault="002774B1" w:rsidP="002774B1">
      <w:pPr>
        <w:rPr>
          <w:rFonts w:cstheme="minorHAnsi"/>
        </w:rPr>
      </w:pPr>
      <w:r w:rsidRPr="00CD4CEA">
        <w:rPr>
          <w:rFonts w:cstheme="minorHAnsi"/>
        </w:rPr>
        <w:t xml:space="preserve">You should have clear answers to each of these </w:t>
      </w:r>
      <w:r w:rsidRPr="00CD4CEA">
        <w:rPr>
          <w:rFonts w:cstheme="minorHAnsi"/>
          <w:b/>
        </w:rPr>
        <w:t>before</w:t>
      </w:r>
      <w:r w:rsidRPr="00CD4CEA">
        <w:rPr>
          <w:rFonts w:cstheme="minorHAnsi"/>
        </w:rPr>
        <w:t xml:space="preserve"> you start your documentation work. Sometimes these questions take a while to answer, and may require you </w:t>
      </w:r>
      <w:r w:rsidR="00EB4AD9">
        <w:rPr>
          <w:rFonts w:cstheme="minorHAnsi"/>
        </w:rPr>
        <w:t xml:space="preserve">to </w:t>
      </w:r>
      <w:r w:rsidRPr="00CD4CEA">
        <w:rPr>
          <w:rFonts w:cstheme="minorHAnsi"/>
        </w:rPr>
        <w:t xml:space="preserve">better familiarize yourself with the situation, actors, and operating environment before you can do so thoughtfully. </w:t>
      </w:r>
      <w:r w:rsidR="00F10752" w:rsidRPr="00CD4CEA">
        <w:rPr>
          <w:rFonts w:cstheme="minorHAnsi"/>
        </w:rPr>
        <w:t>The human rights documentation organization</w:t>
      </w:r>
      <w:r w:rsidR="00284E96" w:rsidRPr="00CD4CEA">
        <w:rPr>
          <w:rFonts w:cstheme="minorHAnsi"/>
        </w:rPr>
        <w:t xml:space="preserve"> </w:t>
      </w:r>
      <w:proofErr w:type="spellStart"/>
      <w:r w:rsidRPr="00CD4CEA">
        <w:rPr>
          <w:rFonts w:cstheme="minorHAnsi"/>
        </w:rPr>
        <w:t>Videre</w:t>
      </w:r>
      <w:proofErr w:type="spellEnd"/>
      <w:r w:rsidR="00284E96" w:rsidRPr="00CD4CEA">
        <w:rPr>
          <w:rFonts w:cstheme="minorHAnsi"/>
        </w:rPr>
        <w:t xml:space="preserve"> </w:t>
      </w:r>
      <w:r w:rsidRPr="00CD4CEA">
        <w:rPr>
          <w:rFonts w:cstheme="minorHAnsi"/>
        </w:rPr>
        <w:t>spend</w:t>
      </w:r>
      <w:r w:rsidR="00F10752" w:rsidRPr="00CD4CEA">
        <w:rPr>
          <w:rFonts w:cstheme="minorHAnsi"/>
        </w:rPr>
        <w:t>s</w:t>
      </w:r>
      <w:r w:rsidRPr="00CD4CEA">
        <w:rPr>
          <w:rFonts w:cstheme="minorHAnsi"/>
        </w:rPr>
        <w:t xml:space="preserve"> time talking to various actors, doing desktop research, and visiting the location</w:t>
      </w:r>
      <w:r w:rsidR="00F10752" w:rsidRPr="00CD4CEA">
        <w:rPr>
          <w:rFonts w:cstheme="minorHAnsi"/>
        </w:rPr>
        <w:t>s</w:t>
      </w:r>
      <w:r w:rsidRPr="00CD4CEA">
        <w:rPr>
          <w:rFonts w:cstheme="minorHAnsi"/>
        </w:rPr>
        <w:t xml:space="preserve"> where</w:t>
      </w:r>
      <w:r w:rsidR="00F10752" w:rsidRPr="00CD4CEA">
        <w:rPr>
          <w:rFonts w:cstheme="minorHAnsi"/>
        </w:rPr>
        <w:t xml:space="preserve"> they are thinking about</w:t>
      </w:r>
      <w:r w:rsidRPr="00CD4CEA">
        <w:rPr>
          <w:rFonts w:cstheme="minorHAnsi"/>
        </w:rPr>
        <w:t xml:space="preserve"> document</w:t>
      </w:r>
      <w:r w:rsidR="00F10752" w:rsidRPr="00CD4CEA">
        <w:rPr>
          <w:rFonts w:cstheme="minorHAnsi"/>
        </w:rPr>
        <w:t>ing</w:t>
      </w:r>
      <w:r w:rsidRPr="00CD4CEA">
        <w:rPr>
          <w:rFonts w:cstheme="minorHAnsi"/>
        </w:rPr>
        <w:t xml:space="preserve"> in order to understand if </w:t>
      </w:r>
      <w:r w:rsidR="00F10752" w:rsidRPr="00CD4CEA">
        <w:rPr>
          <w:rFonts w:cstheme="minorHAnsi"/>
        </w:rPr>
        <w:t>they</w:t>
      </w:r>
      <w:r w:rsidRPr="00CD4CEA">
        <w:rPr>
          <w:rFonts w:cstheme="minorHAnsi"/>
        </w:rPr>
        <w:t xml:space="preserve"> are the right people to do this work. The set of questions </w:t>
      </w:r>
      <w:r w:rsidR="00F10752" w:rsidRPr="00CD4CEA">
        <w:rPr>
          <w:rFonts w:cstheme="minorHAnsi"/>
        </w:rPr>
        <w:t xml:space="preserve">that </w:t>
      </w:r>
      <w:proofErr w:type="spellStart"/>
      <w:r w:rsidR="00F10752" w:rsidRPr="00CD4CEA">
        <w:rPr>
          <w:rFonts w:cstheme="minorHAnsi"/>
        </w:rPr>
        <w:t>Videre</w:t>
      </w:r>
      <w:proofErr w:type="spellEnd"/>
      <w:r w:rsidR="00F10752" w:rsidRPr="00CD4CEA">
        <w:rPr>
          <w:rFonts w:cstheme="minorHAnsi"/>
        </w:rPr>
        <w:t xml:space="preserve"> asks itself include</w:t>
      </w:r>
      <w:r w:rsidRPr="00CD4CEA">
        <w:rPr>
          <w:rFonts w:cstheme="minorHAnsi"/>
        </w:rPr>
        <w:t xml:space="preserve">: </w:t>
      </w:r>
    </w:p>
    <w:p w14:paraId="5D76EF8F" w14:textId="77777777" w:rsidR="001322B5" w:rsidRPr="00CD4CEA" w:rsidRDefault="001322B5" w:rsidP="001322B5">
      <w:pPr>
        <w:rPr>
          <w:rFonts w:cstheme="minorHAnsi"/>
        </w:rPr>
      </w:pPr>
    </w:p>
    <w:p w14:paraId="36D13025" w14:textId="77777777" w:rsidR="001322B5" w:rsidRPr="00CD4CEA" w:rsidRDefault="001322B5" w:rsidP="001322B5">
      <w:pPr>
        <w:pStyle w:val="ListParagraph"/>
        <w:numPr>
          <w:ilvl w:val="0"/>
          <w:numId w:val="18"/>
        </w:numPr>
        <w:rPr>
          <w:rFonts w:cstheme="minorHAnsi"/>
        </w:rPr>
      </w:pPr>
      <w:r w:rsidRPr="00CD4CEA">
        <w:rPr>
          <w:rFonts w:cstheme="minorHAnsi"/>
        </w:rPr>
        <w:t xml:space="preserve">What will verified visual documentation add in this situation?  </w:t>
      </w:r>
    </w:p>
    <w:p w14:paraId="1230CFAA" w14:textId="77777777" w:rsidR="001322B5" w:rsidRPr="00CD4CEA" w:rsidRDefault="001322B5" w:rsidP="001322B5">
      <w:pPr>
        <w:pStyle w:val="ListParagraph"/>
        <w:numPr>
          <w:ilvl w:val="0"/>
          <w:numId w:val="18"/>
        </w:numPr>
        <w:rPr>
          <w:rFonts w:cstheme="minorHAnsi"/>
        </w:rPr>
      </w:pPr>
      <w:r w:rsidRPr="00CD4CEA">
        <w:rPr>
          <w:rFonts w:cstheme="minorHAnsi"/>
        </w:rPr>
        <w:t xml:space="preserve">Are there others who can do/are doing this work? </w:t>
      </w:r>
    </w:p>
    <w:p w14:paraId="759B6686" w14:textId="77777777" w:rsidR="001322B5" w:rsidRPr="00CD4CEA" w:rsidRDefault="001322B5" w:rsidP="001322B5">
      <w:pPr>
        <w:pStyle w:val="ListParagraph"/>
        <w:numPr>
          <w:ilvl w:val="0"/>
          <w:numId w:val="18"/>
        </w:numPr>
        <w:rPr>
          <w:rFonts w:cstheme="minorHAnsi"/>
        </w:rPr>
      </w:pPr>
      <w:r w:rsidRPr="00CD4CEA">
        <w:rPr>
          <w:rFonts w:cstheme="minorHAnsi"/>
        </w:rPr>
        <w:t xml:space="preserve">What is our theory of change? </w:t>
      </w:r>
    </w:p>
    <w:p w14:paraId="65B9249A" w14:textId="77777777" w:rsidR="001322B5" w:rsidRPr="00CD4CEA" w:rsidRDefault="001322B5" w:rsidP="001322B5">
      <w:pPr>
        <w:pStyle w:val="ListParagraph"/>
        <w:numPr>
          <w:ilvl w:val="0"/>
          <w:numId w:val="18"/>
        </w:numPr>
        <w:rPr>
          <w:rFonts w:cstheme="minorHAnsi"/>
        </w:rPr>
      </w:pPr>
      <w:r w:rsidRPr="00CD4CEA">
        <w:rPr>
          <w:rFonts w:cstheme="minorHAnsi"/>
        </w:rPr>
        <w:t xml:space="preserve">Does the context fall within our thematic expertise? </w:t>
      </w:r>
    </w:p>
    <w:p w14:paraId="0ABE26F4" w14:textId="221E6730" w:rsidR="001322B5" w:rsidRPr="00CD4CEA" w:rsidRDefault="001322B5" w:rsidP="001322B5">
      <w:pPr>
        <w:pStyle w:val="ListParagraph"/>
        <w:numPr>
          <w:ilvl w:val="0"/>
          <w:numId w:val="18"/>
        </w:numPr>
        <w:rPr>
          <w:rFonts w:cstheme="minorHAnsi"/>
        </w:rPr>
      </w:pPr>
      <w:r w:rsidRPr="00CD4CEA">
        <w:rPr>
          <w:rFonts w:cstheme="minorHAnsi"/>
        </w:rPr>
        <w:t xml:space="preserve">Who are the potential end-users for this documentation? Do we have the relationships necessary to put this information into their hands in a way that resonates? </w:t>
      </w:r>
    </w:p>
    <w:p w14:paraId="3BE90D8C" w14:textId="77777777" w:rsidR="001322B5" w:rsidRPr="00CD4CEA" w:rsidRDefault="001322B5" w:rsidP="001322B5">
      <w:pPr>
        <w:pStyle w:val="ListParagraph"/>
        <w:numPr>
          <w:ilvl w:val="0"/>
          <w:numId w:val="18"/>
        </w:numPr>
        <w:rPr>
          <w:rFonts w:cstheme="minorHAnsi"/>
        </w:rPr>
      </w:pPr>
      <w:r w:rsidRPr="00CD4CEA">
        <w:rPr>
          <w:rFonts w:cstheme="minorHAnsi"/>
        </w:rPr>
        <w:t xml:space="preserve">Are we able to operate securely within this context? </w:t>
      </w:r>
    </w:p>
    <w:p w14:paraId="76B98275" w14:textId="77777777" w:rsidR="001322B5" w:rsidRPr="00CD4CEA" w:rsidRDefault="001322B5" w:rsidP="001322B5">
      <w:pPr>
        <w:pStyle w:val="ListParagraph"/>
        <w:numPr>
          <w:ilvl w:val="0"/>
          <w:numId w:val="18"/>
        </w:numPr>
        <w:rPr>
          <w:rFonts w:cstheme="minorHAnsi"/>
        </w:rPr>
      </w:pPr>
      <w:r w:rsidRPr="00CD4CEA">
        <w:rPr>
          <w:rFonts w:cstheme="minorHAnsi"/>
        </w:rPr>
        <w:t>Are we able to operate in this context from a logistics perspective?</w:t>
      </w:r>
    </w:p>
    <w:p w14:paraId="45CEB119" w14:textId="77777777" w:rsidR="002774B1" w:rsidRPr="00CD4CEA" w:rsidRDefault="002774B1" w:rsidP="002774B1">
      <w:pPr>
        <w:rPr>
          <w:rFonts w:cstheme="minorHAnsi"/>
        </w:rPr>
      </w:pPr>
    </w:p>
    <w:p w14:paraId="2CE52AC7" w14:textId="77777777" w:rsidR="00E31D53" w:rsidRDefault="00E31D53" w:rsidP="002774B1">
      <w:pPr>
        <w:rPr>
          <w:rFonts w:cstheme="minorHAnsi"/>
          <w:b/>
        </w:rPr>
      </w:pPr>
    </w:p>
    <w:p w14:paraId="256CE9D2" w14:textId="3B404D60" w:rsidR="002774B1" w:rsidRPr="00CD4CEA" w:rsidRDefault="002774B1" w:rsidP="002774B1">
      <w:pPr>
        <w:rPr>
          <w:rFonts w:cstheme="minorHAnsi"/>
        </w:rPr>
      </w:pPr>
      <w:r w:rsidRPr="00CD4CEA">
        <w:rPr>
          <w:rFonts w:cstheme="minorHAnsi"/>
          <w:b/>
        </w:rPr>
        <w:t xml:space="preserve">What is </w:t>
      </w:r>
      <w:r w:rsidR="000D109C" w:rsidRPr="00CD4CEA">
        <w:rPr>
          <w:rFonts w:cstheme="minorHAnsi"/>
          <w:b/>
        </w:rPr>
        <w:t>Y</w:t>
      </w:r>
      <w:r w:rsidRPr="00CD4CEA">
        <w:rPr>
          <w:rFonts w:cstheme="minorHAnsi"/>
          <w:b/>
        </w:rPr>
        <w:t xml:space="preserve">our </w:t>
      </w:r>
      <w:r w:rsidR="000D109C" w:rsidRPr="00CD4CEA">
        <w:rPr>
          <w:rFonts w:cstheme="minorHAnsi"/>
          <w:b/>
        </w:rPr>
        <w:t>A</w:t>
      </w:r>
      <w:r w:rsidRPr="00CD4CEA">
        <w:rPr>
          <w:rFonts w:cstheme="minorHAnsi"/>
          <w:b/>
        </w:rPr>
        <w:t xml:space="preserve">dded </w:t>
      </w:r>
      <w:r w:rsidR="000D109C" w:rsidRPr="00CD4CEA">
        <w:rPr>
          <w:rFonts w:cstheme="minorHAnsi"/>
          <w:b/>
        </w:rPr>
        <w:t>V</w:t>
      </w:r>
      <w:r w:rsidRPr="00CD4CEA">
        <w:rPr>
          <w:rFonts w:cstheme="minorHAnsi"/>
          <w:b/>
        </w:rPr>
        <w:t>alue?</w:t>
      </w:r>
      <w:r w:rsidRPr="00CD4CEA">
        <w:rPr>
          <w:rFonts w:cstheme="minorHAnsi"/>
        </w:rPr>
        <w:t xml:space="preserve"> </w:t>
      </w:r>
      <w:r w:rsidRPr="00CD4CEA">
        <w:rPr>
          <w:rFonts w:cstheme="minorHAnsi"/>
          <w:b/>
        </w:rPr>
        <w:t>Collaborate, Don’t Duplicate</w:t>
      </w:r>
      <w:r w:rsidR="00EB4AD9">
        <w:rPr>
          <w:rFonts w:cstheme="minorHAnsi"/>
          <w:b/>
        </w:rPr>
        <w:t>.</w:t>
      </w:r>
      <w:r w:rsidRPr="00CD4CEA">
        <w:rPr>
          <w:rFonts w:cstheme="minorHAnsi"/>
          <w:b/>
        </w:rPr>
        <w:t xml:space="preserve"> </w:t>
      </w:r>
      <w:r w:rsidRPr="00CD4CEA">
        <w:rPr>
          <w:rFonts w:cstheme="minorHAnsi"/>
        </w:rPr>
        <w:t xml:space="preserve">In most every situation, there are actors who are already working on the issues you want to document or on closely related subjects. As more and more actors take up documentation efforts, the next question it is critical to ask is what added value is your documentation bringing to this ecosystem. Doing this will require you to map out who is doing what. The “who” in this instance could include human rights organizations, community-based organizations, journalists, governments, international organizations, and/or social media </w:t>
      </w:r>
      <w:r w:rsidR="00F10752" w:rsidRPr="00CD4CEA">
        <w:rPr>
          <w:rFonts w:cstheme="minorHAnsi"/>
        </w:rPr>
        <w:t>creators</w:t>
      </w:r>
      <w:r w:rsidRPr="00CD4CEA">
        <w:rPr>
          <w:rFonts w:cstheme="minorHAnsi"/>
        </w:rPr>
        <w:t xml:space="preserve">. In </w:t>
      </w:r>
      <w:r w:rsidR="00F10752" w:rsidRPr="00CD4CEA">
        <w:rPr>
          <w:rFonts w:cstheme="minorHAnsi"/>
        </w:rPr>
        <w:t>other</w:t>
      </w:r>
      <w:r w:rsidRPr="00CD4CEA">
        <w:rPr>
          <w:rFonts w:cstheme="minorHAnsi"/>
        </w:rPr>
        <w:t xml:space="preserve"> terms, this is </w:t>
      </w:r>
      <w:r w:rsidR="00F10752" w:rsidRPr="00CD4CEA">
        <w:rPr>
          <w:rFonts w:cstheme="minorHAnsi"/>
        </w:rPr>
        <w:t>could be considered</w:t>
      </w:r>
      <w:r w:rsidRPr="00CD4CEA">
        <w:rPr>
          <w:rFonts w:cstheme="minorHAnsi"/>
        </w:rPr>
        <w:t xml:space="preserve"> a network analysis of the players in the landscape and what they are contributing. </w:t>
      </w:r>
    </w:p>
    <w:p w14:paraId="5E52D9AE" w14:textId="77777777" w:rsidR="002774B1" w:rsidRPr="00CD4CEA" w:rsidRDefault="002774B1" w:rsidP="002774B1">
      <w:pPr>
        <w:rPr>
          <w:rFonts w:cstheme="minorHAnsi"/>
        </w:rPr>
      </w:pPr>
    </w:p>
    <w:p w14:paraId="2B75D17D" w14:textId="77777777" w:rsidR="002774B1" w:rsidRPr="00CD4CEA" w:rsidRDefault="002774B1" w:rsidP="002774B1">
      <w:pPr>
        <w:rPr>
          <w:rFonts w:cstheme="minorHAnsi"/>
        </w:rPr>
      </w:pPr>
      <w:r w:rsidRPr="00CD4CEA">
        <w:rPr>
          <w:rFonts w:cstheme="minorHAnsi"/>
        </w:rPr>
        <w:t xml:space="preserve">As you conduct this network analysis, three questions should be at the forefront of your mind: </w:t>
      </w:r>
    </w:p>
    <w:p w14:paraId="61F263C0" w14:textId="77777777" w:rsidR="002774B1" w:rsidRPr="00CD4CEA" w:rsidRDefault="002774B1" w:rsidP="002774B1">
      <w:pPr>
        <w:rPr>
          <w:rFonts w:cstheme="minorHAnsi"/>
        </w:rPr>
      </w:pPr>
    </w:p>
    <w:p w14:paraId="2AE9B78F" w14:textId="77777777" w:rsidR="002774B1" w:rsidRPr="00CD4CEA" w:rsidRDefault="002774B1" w:rsidP="002774B1">
      <w:pPr>
        <w:pStyle w:val="ListParagraph"/>
        <w:numPr>
          <w:ilvl w:val="0"/>
          <w:numId w:val="14"/>
        </w:numPr>
        <w:rPr>
          <w:rFonts w:cstheme="minorHAnsi"/>
        </w:rPr>
      </w:pPr>
      <w:r w:rsidRPr="00CD4CEA">
        <w:rPr>
          <w:rFonts w:cstheme="minorHAnsi"/>
        </w:rPr>
        <w:t xml:space="preserve">What are the gaps in this documentation effort? </w:t>
      </w:r>
    </w:p>
    <w:p w14:paraId="6333B79F" w14:textId="77777777" w:rsidR="002774B1" w:rsidRPr="00CD4CEA" w:rsidRDefault="002774B1" w:rsidP="002774B1">
      <w:pPr>
        <w:pStyle w:val="ListParagraph"/>
        <w:numPr>
          <w:ilvl w:val="0"/>
          <w:numId w:val="14"/>
        </w:numPr>
        <w:rPr>
          <w:rFonts w:cstheme="minorHAnsi"/>
        </w:rPr>
      </w:pPr>
      <w:r w:rsidRPr="00CD4CEA">
        <w:rPr>
          <w:rFonts w:cstheme="minorHAnsi"/>
        </w:rPr>
        <w:t xml:space="preserve">Do my skills/experience add value to current efforts by filling one or some of these gaps? </w:t>
      </w:r>
    </w:p>
    <w:p w14:paraId="52184453" w14:textId="77777777" w:rsidR="002774B1" w:rsidRPr="00CD4CEA" w:rsidRDefault="002774B1" w:rsidP="002774B1">
      <w:pPr>
        <w:pStyle w:val="ListParagraph"/>
        <w:numPr>
          <w:ilvl w:val="0"/>
          <w:numId w:val="14"/>
        </w:numPr>
        <w:rPr>
          <w:rFonts w:cstheme="minorHAnsi"/>
        </w:rPr>
      </w:pPr>
      <w:r w:rsidRPr="00CD4CEA">
        <w:rPr>
          <w:rFonts w:cstheme="minorHAnsi"/>
        </w:rPr>
        <w:t xml:space="preserve">Is it possible to join forces with one or a group of the current actors? </w:t>
      </w:r>
    </w:p>
    <w:p w14:paraId="0801FDC5" w14:textId="77777777" w:rsidR="002774B1" w:rsidRPr="00CD4CEA" w:rsidRDefault="002774B1" w:rsidP="002774B1">
      <w:pPr>
        <w:rPr>
          <w:rFonts w:cstheme="minorHAnsi"/>
        </w:rPr>
      </w:pPr>
    </w:p>
    <w:p w14:paraId="4F712B55" w14:textId="7BED6279" w:rsidR="002774B1" w:rsidRPr="00CD4CEA" w:rsidRDefault="002774B1" w:rsidP="002774B1">
      <w:pPr>
        <w:rPr>
          <w:rFonts w:cstheme="minorHAnsi"/>
        </w:rPr>
      </w:pPr>
      <w:r w:rsidRPr="00CD4CEA">
        <w:rPr>
          <w:rFonts w:cstheme="minorHAnsi"/>
        </w:rPr>
        <w:t xml:space="preserve">Before establishing a new documentation initiative, consider if it would be possible to join forces with one of the current players. It is easier to incrementally add </w:t>
      </w:r>
      <w:r w:rsidR="00EB7A49" w:rsidRPr="00CD4CEA">
        <w:rPr>
          <w:rFonts w:cstheme="minorHAnsi"/>
        </w:rPr>
        <w:t xml:space="preserve">a </w:t>
      </w:r>
      <w:r w:rsidRPr="00CD4CEA">
        <w:rPr>
          <w:rFonts w:cstheme="minorHAnsi"/>
        </w:rPr>
        <w:t>new topic, location, and/or methodology to the operation of an existing organization or collaborative rather than creating a new one, which will compete for resource</w:t>
      </w:r>
      <w:r w:rsidR="00EB7A49" w:rsidRPr="00CD4CEA">
        <w:rPr>
          <w:rFonts w:cstheme="minorHAnsi"/>
        </w:rPr>
        <w:t>s</w:t>
      </w:r>
      <w:r w:rsidRPr="00CD4CEA">
        <w:rPr>
          <w:rFonts w:cstheme="minorHAnsi"/>
        </w:rPr>
        <w:t xml:space="preserve"> and attention. And it would surely be a waste of resources and efforts to duplicate work that is already being done.</w:t>
      </w:r>
    </w:p>
    <w:p w14:paraId="439841A2" w14:textId="77777777" w:rsidR="002774B1" w:rsidRPr="00CD4CEA" w:rsidRDefault="002774B1" w:rsidP="002774B1">
      <w:pPr>
        <w:rPr>
          <w:rFonts w:cstheme="minorHAnsi"/>
        </w:rPr>
      </w:pPr>
    </w:p>
    <w:p w14:paraId="431AB0F4" w14:textId="2E919824" w:rsidR="002774B1" w:rsidRPr="00CD4CEA" w:rsidRDefault="002774B1" w:rsidP="002774B1">
      <w:pPr>
        <w:rPr>
          <w:rFonts w:cstheme="minorHAnsi"/>
        </w:rPr>
      </w:pPr>
      <w:r w:rsidRPr="00CD4CEA">
        <w:rPr>
          <w:rFonts w:cstheme="minorHAnsi"/>
        </w:rPr>
        <w:t xml:space="preserve">It is also important to remember that documentation is </w:t>
      </w:r>
      <w:r w:rsidR="00F10752" w:rsidRPr="00CD4CEA">
        <w:rPr>
          <w:rFonts w:cstheme="minorHAnsi"/>
        </w:rPr>
        <w:t>one</w:t>
      </w:r>
      <w:r w:rsidRPr="00CD4CEA">
        <w:rPr>
          <w:rFonts w:cstheme="minorHAnsi"/>
        </w:rPr>
        <w:t xml:space="preserve"> piece in a larger puzzle. Collaboration is often the key to successful work. Even large, well-resourced groups like Human Rights Watch and Amnesty International rely on other actors to build out a larger picture around their documentation and advocacy efforts.</w:t>
      </w:r>
    </w:p>
    <w:p w14:paraId="720356F5" w14:textId="77777777" w:rsidR="002774B1" w:rsidRPr="00CD4CEA" w:rsidRDefault="002774B1" w:rsidP="002774B1">
      <w:pPr>
        <w:rPr>
          <w:rFonts w:cstheme="minorHAnsi"/>
        </w:rPr>
      </w:pPr>
    </w:p>
    <w:p w14:paraId="052BD870" w14:textId="2D439412" w:rsidR="00F969CE" w:rsidRPr="00CD4CEA" w:rsidRDefault="002774B1" w:rsidP="0022596F">
      <w:pPr>
        <w:tabs>
          <w:tab w:val="left" w:pos="3828"/>
        </w:tabs>
        <w:rPr>
          <w:rFonts w:cstheme="minorHAnsi"/>
        </w:rPr>
      </w:pPr>
      <w:r w:rsidRPr="00CD4CEA">
        <w:rPr>
          <w:rFonts w:cstheme="minorHAnsi"/>
        </w:rPr>
        <w:t xml:space="preserve">You may ask: what is the harm </w:t>
      </w:r>
      <w:r w:rsidR="00CB35D2" w:rsidRPr="00CD4CEA">
        <w:rPr>
          <w:rFonts w:cstheme="minorHAnsi"/>
        </w:rPr>
        <w:t>in</w:t>
      </w:r>
      <w:r w:rsidRPr="00CD4CEA">
        <w:rPr>
          <w:rFonts w:cstheme="minorHAnsi"/>
        </w:rPr>
        <w:t xml:space="preserve"> duplicating documentation work that someone else has done? Over-documentation has real risks. In fact, the current Prosecutor of the International Criminal </w:t>
      </w:r>
      <w:r w:rsidR="0022596F">
        <w:rPr>
          <w:rFonts w:cstheme="minorHAnsi"/>
        </w:rPr>
        <w:t xml:space="preserve">Court, Karim Khan, has </w:t>
      </w:r>
      <w:r w:rsidRPr="00CD4CEA">
        <w:rPr>
          <w:rFonts w:cstheme="minorHAnsi"/>
        </w:rPr>
        <w:t xml:space="preserve">noted that the “over-documentation” of war crimes and rights abuses must be avoided. He has noted specific examples of </w:t>
      </w:r>
      <w:proofErr w:type="spellStart"/>
      <w:r w:rsidRPr="00CD4CEA">
        <w:rPr>
          <w:rFonts w:cstheme="minorHAnsi"/>
        </w:rPr>
        <w:t>Rohingya</w:t>
      </w:r>
      <w:proofErr w:type="spellEnd"/>
      <w:r w:rsidRPr="00CD4CEA">
        <w:rPr>
          <w:rFonts w:cstheme="minorHAnsi"/>
        </w:rPr>
        <w:t xml:space="preserve"> rape victims being interviewed 10 to 15 </w:t>
      </w:r>
      <w:r w:rsidRPr="00CD4CEA">
        <w:rPr>
          <w:rFonts w:cstheme="minorHAnsi"/>
        </w:rPr>
        <w:lastRenderedPageBreak/>
        <w:t>times “in a way that is unacceptable and obscene.”</w:t>
      </w:r>
      <w:r w:rsidR="0022596F">
        <w:rPr>
          <w:rStyle w:val="FootnoteReference"/>
          <w:rFonts w:cstheme="minorHAnsi"/>
        </w:rPr>
        <w:footnoteReference w:id="59"/>
      </w:r>
      <w:r w:rsidRPr="00CD4CEA">
        <w:rPr>
          <w:rFonts w:cstheme="minorHAnsi"/>
        </w:rPr>
        <w:t xml:space="preserve"> Over-documentation can lead to re-traumatization and victim fatigue. It can also interfere with ongoing legal investigations</w:t>
      </w:r>
      <w:r w:rsidR="00F10752" w:rsidRPr="00CD4CEA">
        <w:rPr>
          <w:rFonts w:cstheme="minorHAnsi"/>
        </w:rPr>
        <w:t xml:space="preserve"> </w:t>
      </w:r>
      <w:r w:rsidR="00F10752" w:rsidRPr="00AD0021">
        <w:rPr>
          <w:rFonts w:cstheme="minorHAnsi"/>
        </w:rPr>
        <w:t>–</w:t>
      </w:r>
      <w:r w:rsidR="00F10752" w:rsidRPr="00CD4CEA">
        <w:rPr>
          <w:rFonts w:cstheme="minorHAnsi"/>
        </w:rPr>
        <w:t xml:space="preserve"> f</w:t>
      </w:r>
      <w:r w:rsidRPr="00CD4CEA">
        <w:rPr>
          <w:rFonts w:cstheme="minorHAnsi"/>
        </w:rPr>
        <w:t>or example, when a reporter interviews a survivor who then potentially becomes tainted as a witness by having a narrative about their experiences circulating that may compete with their testimony in court.</w:t>
      </w:r>
      <w:r w:rsidR="00FD387A" w:rsidRPr="00CD4CEA">
        <w:rPr>
          <w:rFonts w:cstheme="minorHAnsi"/>
        </w:rPr>
        <w:t xml:space="preserve"> </w:t>
      </w:r>
      <w:r w:rsidR="00F969CE" w:rsidRPr="00CD4CEA">
        <w:rPr>
          <w:rFonts w:cstheme="minorHAnsi"/>
        </w:rPr>
        <w:t xml:space="preserve">Even beyond over-documentation, re-traumatization is an inherent risk of documentation work, particularly when working directly with survivors and victims and/or on highly sensitive topics such as sexual violence. Conducting interviews is a highly-specialized process and should only be </w:t>
      </w:r>
      <w:r w:rsidR="00F10752" w:rsidRPr="00CD4CEA">
        <w:rPr>
          <w:rFonts w:cstheme="minorHAnsi"/>
        </w:rPr>
        <w:t>undertaken</w:t>
      </w:r>
      <w:r w:rsidR="00F969CE" w:rsidRPr="00CD4CEA">
        <w:rPr>
          <w:rFonts w:cstheme="minorHAnsi"/>
        </w:rPr>
        <w:t xml:space="preserve"> by experts.  </w:t>
      </w:r>
    </w:p>
    <w:p w14:paraId="7E1AF5A9" w14:textId="77777777" w:rsidR="002774B1" w:rsidRPr="00CD4CEA" w:rsidRDefault="002774B1" w:rsidP="002774B1">
      <w:pPr>
        <w:rPr>
          <w:rFonts w:cstheme="minorHAnsi"/>
        </w:rPr>
      </w:pPr>
    </w:p>
    <w:p w14:paraId="6B4F3E57" w14:textId="77777777" w:rsidR="00094BBC" w:rsidRPr="00CD4CEA" w:rsidRDefault="00094BBC" w:rsidP="005971D8">
      <w:pPr>
        <w:jc w:val="center"/>
        <w:rPr>
          <w:rFonts w:cstheme="minorHAnsi"/>
        </w:rPr>
      </w:pPr>
      <w:r w:rsidRPr="00CD4CEA">
        <w:rPr>
          <w:rFonts w:cstheme="minorHAnsi"/>
        </w:rPr>
        <w:t>\\\\\\\\\\\\\\\\\\\\\\\\\\\\\\\\\\\\\\\\\\\\\\\\\\\\\\\\\\\\\\\\\\\\\\\\\\\\\\\\\\\</w:t>
      </w:r>
    </w:p>
    <w:p w14:paraId="5A1789D0" w14:textId="7151AD22" w:rsidR="00D4008B" w:rsidRPr="00CD4CEA" w:rsidRDefault="00D4008B" w:rsidP="00D4008B">
      <w:pPr>
        <w:jc w:val="center"/>
        <w:rPr>
          <w:rFonts w:cstheme="minorHAnsi"/>
          <w:b/>
          <w:i/>
        </w:rPr>
      </w:pPr>
      <w:r w:rsidRPr="00CD4CEA">
        <w:rPr>
          <w:rFonts w:cstheme="minorHAnsi"/>
          <w:b/>
        </w:rPr>
        <w:t>[A NOTE ABOUT CONSENT]</w:t>
      </w:r>
    </w:p>
    <w:p w14:paraId="540ED44B" w14:textId="6162035C" w:rsidR="005971D8" w:rsidRPr="00CD4CEA" w:rsidRDefault="005971D8" w:rsidP="005971D8">
      <w:pPr>
        <w:rPr>
          <w:rFonts w:cstheme="minorHAnsi"/>
          <w:color w:val="000000"/>
        </w:rPr>
      </w:pPr>
      <w:r w:rsidRPr="00CD4CEA">
        <w:rPr>
          <w:rFonts w:cstheme="minorHAnsi"/>
          <w:color w:val="000000"/>
        </w:rPr>
        <w:t xml:space="preserve">It is best practice to seek informed consent before conducting any documentation action, but what is informed consent? </w:t>
      </w:r>
      <w:r w:rsidR="00780D11" w:rsidRPr="00CD4CEA">
        <w:rPr>
          <w:rFonts w:cstheme="minorHAnsi"/>
          <w:color w:val="000000"/>
        </w:rPr>
        <w:t xml:space="preserve">Gabriela </w:t>
      </w:r>
      <w:proofErr w:type="spellStart"/>
      <w:r w:rsidRPr="00CD4CEA">
        <w:rPr>
          <w:rFonts w:cstheme="minorHAnsi"/>
          <w:color w:val="000000"/>
        </w:rPr>
        <w:t>Ivens</w:t>
      </w:r>
      <w:proofErr w:type="spellEnd"/>
      <w:r w:rsidRPr="00CD4CEA">
        <w:rPr>
          <w:rFonts w:cstheme="minorHAnsi"/>
          <w:color w:val="000000"/>
        </w:rPr>
        <w:t xml:space="preserve"> and Sam Dubberley provide us with a good breakdown:</w:t>
      </w:r>
      <w:r w:rsidR="0052643A">
        <w:rPr>
          <w:rStyle w:val="FootnoteReference"/>
          <w:rFonts w:cstheme="minorHAnsi"/>
          <w:color w:val="000000"/>
        </w:rPr>
        <w:footnoteReference w:id="60"/>
      </w:r>
      <w:r w:rsidRPr="00CD4CEA">
        <w:rPr>
          <w:rFonts w:cstheme="minorHAnsi"/>
          <w:color w:val="000000"/>
        </w:rPr>
        <w:t xml:space="preserve"> </w:t>
      </w:r>
    </w:p>
    <w:p w14:paraId="57F31205" w14:textId="77777777" w:rsidR="005971D8" w:rsidRPr="00CD4CEA" w:rsidRDefault="005971D8" w:rsidP="005971D8">
      <w:pPr>
        <w:rPr>
          <w:rFonts w:cstheme="minorHAnsi"/>
          <w:color w:val="000000"/>
        </w:rPr>
      </w:pPr>
    </w:p>
    <w:p w14:paraId="62D60260" w14:textId="77777777" w:rsidR="005971D8" w:rsidRPr="00CD4CEA" w:rsidRDefault="005971D8" w:rsidP="005971D8">
      <w:pPr>
        <w:ind w:left="1134" w:right="1655"/>
        <w:rPr>
          <w:rFonts w:eastAsia="Times New Roman" w:cstheme="minorHAnsi"/>
          <w:lang w:eastAsia="en-GB"/>
        </w:rPr>
      </w:pPr>
      <w:r w:rsidRPr="00CD4CEA">
        <w:rPr>
          <w:rFonts w:eastAsia="Times New Roman" w:cstheme="minorHAnsi"/>
          <w:b/>
          <w:bCs/>
          <w:color w:val="000000"/>
          <w:lang w:eastAsia="en-GB"/>
        </w:rPr>
        <w:t>Notice or Disclosure</w:t>
      </w:r>
      <w:r w:rsidRPr="00CD4CEA">
        <w:rPr>
          <w:rFonts w:eastAsia="Times New Roman" w:cstheme="minorHAnsi"/>
          <w:color w:val="000000"/>
          <w:lang w:eastAsia="en-GB"/>
        </w:rPr>
        <w:t>: The consent process must ensure that the person is informed of the nature and purpose of the investigation, the expected benefits (if any), the reasonably foreseeable risks, how their information might be reused or shared, the option of not participating, and the procedures for confidentiality and anonymity. </w:t>
      </w:r>
    </w:p>
    <w:p w14:paraId="47260A7F" w14:textId="77777777" w:rsidR="005971D8" w:rsidRPr="00CD4CEA" w:rsidRDefault="005971D8" w:rsidP="005971D8">
      <w:pPr>
        <w:ind w:left="1134" w:right="1655"/>
        <w:rPr>
          <w:rFonts w:eastAsia="Times New Roman" w:cstheme="minorHAnsi"/>
          <w:b/>
          <w:bCs/>
          <w:color w:val="000000"/>
          <w:lang w:eastAsia="en-GB"/>
        </w:rPr>
      </w:pPr>
    </w:p>
    <w:p w14:paraId="196D7A03" w14:textId="77777777" w:rsidR="005971D8" w:rsidRPr="00CD4CEA" w:rsidRDefault="005971D8" w:rsidP="005971D8">
      <w:pPr>
        <w:ind w:left="1134" w:right="1655"/>
        <w:rPr>
          <w:rFonts w:eastAsia="Times New Roman" w:cstheme="minorHAnsi"/>
          <w:lang w:eastAsia="en-GB"/>
        </w:rPr>
      </w:pPr>
      <w:r w:rsidRPr="00CD4CEA">
        <w:rPr>
          <w:rFonts w:eastAsia="Times New Roman" w:cstheme="minorHAnsi"/>
          <w:b/>
          <w:bCs/>
          <w:color w:val="000000"/>
          <w:lang w:eastAsia="en-GB"/>
        </w:rPr>
        <w:t>Capacity, or Understanding</w:t>
      </w:r>
      <w:r w:rsidRPr="00CD4CEA">
        <w:rPr>
          <w:rFonts w:eastAsia="Times New Roman" w:cstheme="minorHAnsi"/>
          <w:color w:val="000000"/>
          <w:lang w:eastAsia="en-GB"/>
        </w:rPr>
        <w:t>: The information must be easily understood in that specific context (language, technical jargon) and the person must be given the opportunity to have any questions answered.</w:t>
      </w:r>
    </w:p>
    <w:p w14:paraId="17EE90B2" w14:textId="77777777" w:rsidR="005971D8" w:rsidRPr="00CD4CEA" w:rsidRDefault="005971D8" w:rsidP="005971D8">
      <w:pPr>
        <w:ind w:left="1134" w:right="1655"/>
        <w:rPr>
          <w:rFonts w:eastAsia="Times New Roman" w:cstheme="minorHAnsi"/>
          <w:b/>
          <w:bCs/>
          <w:color w:val="000000"/>
          <w:lang w:eastAsia="en-GB"/>
        </w:rPr>
      </w:pPr>
    </w:p>
    <w:p w14:paraId="3631BAB5" w14:textId="77777777" w:rsidR="005971D8" w:rsidRPr="00CD4CEA" w:rsidRDefault="005971D8" w:rsidP="005971D8">
      <w:pPr>
        <w:ind w:left="1134" w:right="1655"/>
        <w:rPr>
          <w:rFonts w:eastAsia="Times New Roman" w:cstheme="minorHAnsi"/>
          <w:lang w:eastAsia="en-GB"/>
        </w:rPr>
      </w:pPr>
      <w:r w:rsidRPr="00CD4CEA">
        <w:rPr>
          <w:rFonts w:eastAsia="Times New Roman" w:cstheme="minorHAnsi"/>
          <w:b/>
          <w:bCs/>
          <w:color w:val="000000"/>
          <w:lang w:eastAsia="en-GB"/>
        </w:rPr>
        <w:t>Voluntariness</w:t>
      </w:r>
      <w:r w:rsidRPr="00CD4CEA">
        <w:rPr>
          <w:rFonts w:eastAsia="Times New Roman" w:cstheme="minorHAnsi"/>
          <w:color w:val="000000"/>
          <w:lang w:eastAsia="en-GB"/>
        </w:rPr>
        <w:t>: Consent must be voluntary, free of any coercion or inflated promise, and not involve people who have power over those being asked to give consent. In the development context, however, it is difficult, if not impossible, to remove unequal power dynamics entirely. </w:t>
      </w:r>
    </w:p>
    <w:p w14:paraId="2CD47484" w14:textId="77777777" w:rsidR="005971D8" w:rsidRPr="00CD4CEA" w:rsidRDefault="005971D8" w:rsidP="005971D8">
      <w:pPr>
        <w:ind w:left="1134" w:right="1655"/>
        <w:rPr>
          <w:rFonts w:eastAsia="Times New Roman" w:cstheme="minorHAnsi"/>
          <w:b/>
          <w:bCs/>
          <w:color w:val="000000"/>
          <w:lang w:eastAsia="en-GB"/>
        </w:rPr>
      </w:pPr>
    </w:p>
    <w:p w14:paraId="6D86BFB8" w14:textId="77777777" w:rsidR="005971D8" w:rsidRPr="00CD4CEA" w:rsidRDefault="005971D8" w:rsidP="005971D8">
      <w:pPr>
        <w:ind w:left="1134" w:right="1655"/>
        <w:rPr>
          <w:rFonts w:cstheme="minorHAnsi"/>
          <w:color w:val="000000"/>
        </w:rPr>
      </w:pPr>
      <w:r w:rsidRPr="00CD4CEA">
        <w:rPr>
          <w:rFonts w:eastAsia="Times New Roman" w:cstheme="minorHAnsi"/>
          <w:b/>
          <w:bCs/>
          <w:color w:val="000000"/>
          <w:lang w:eastAsia="en-GB"/>
        </w:rPr>
        <w:t xml:space="preserve">Competence: </w:t>
      </w:r>
      <w:r w:rsidRPr="00CD4CEA">
        <w:rPr>
          <w:rFonts w:eastAsia="Times New Roman" w:cstheme="minorHAnsi"/>
          <w:color w:val="000000"/>
          <w:lang w:eastAsia="en-GB"/>
        </w:rPr>
        <w:t>The participant must be competent to give consent and not incapacitated due to mental status, disease, or emergency.</w:t>
      </w:r>
    </w:p>
    <w:p w14:paraId="6575F8E4" w14:textId="77777777" w:rsidR="005971D8" w:rsidRPr="00CD4CEA" w:rsidRDefault="005971D8" w:rsidP="005971D8">
      <w:pPr>
        <w:rPr>
          <w:rFonts w:cstheme="minorHAnsi"/>
          <w:color w:val="000000"/>
        </w:rPr>
      </w:pPr>
    </w:p>
    <w:p w14:paraId="79DA3730" w14:textId="04DC2775" w:rsidR="00D4008B" w:rsidRPr="00CD4CEA" w:rsidRDefault="005B67D1" w:rsidP="005971D8">
      <w:pPr>
        <w:rPr>
          <w:rFonts w:cstheme="minorHAnsi"/>
        </w:rPr>
      </w:pPr>
      <w:r w:rsidRPr="00CD4CEA">
        <w:rPr>
          <w:rFonts w:cstheme="minorHAnsi"/>
          <w:color w:val="000000"/>
        </w:rPr>
        <w:t xml:space="preserve">Often times, gaining consent is an evolving and ongoing process. </w:t>
      </w:r>
      <w:r w:rsidR="005971D8" w:rsidRPr="00CD4CEA">
        <w:rPr>
          <w:rFonts w:cstheme="minorHAnsi"/>
          <w:color w:val="000000"/>
        </w:rPr>
        <w:t>Even if a piece of information is publicly available, it does not necessarily mean that the person who uploaded the data or the people who might appear in it would con</w:t>
      </w:r>
      <w:r w:rsidRPr="00CD4CEA">
        <w:rPr>
          <w:rFonts w:cstheme="minorHAnsi"/>
          <w:color w:val="000000"/>
        </w:rPr>
        <w:t xml:space="preserve">sent to how you want to use that piece of information. </w:t>
      </w:r>
    </w:p>
    <w:p w14:paraId="43843003" w14:textId="77777777" w:rsidR="00D4008B" w:rsidRPr="00CD4CEA" w:rsidRDefault="00D4008B" w:rsidP="005971D8">
      <w:pPr>
        <w:rPr>
          <w:rFonts w:cstheme="minorHAnsi"/>
        </w:rPr>
      </w:pPr>
    </w:p>
    <w:p w14:paraId="7AE57279" w14:textId="4125C2D8" w:rsidR="00A57CC6" w:rsidRPr="00CD4CEA" w:rsidRDefault="00094BBC" w:rsidP="005971D8">
      <w:pPr>
        <w:rPr>
          <w:rFonts w:cstheme="minorHAnsi"/>
        </w:rPr>
      </w:pPr>
      <w:r w:rsidRPr="00CD4CEA">
        <w:rPr>
          <w:rFonts w:cstheme="minorHAnsi"/>
        </w:rPr>
        <w:t xml:space="preserve">Sometimes it will not be possible to get informed consent. Does that mean we should not use that piece of information? How do we </w:t>
      </w:r>
      <w:r w:rsidR="00E872AC" w:rsidRPr="00CD4CEA">
        <w:rPr>
          <w:rFonts w:cstheme="minorHAnsi"/>
        </w:rPr>
        <w:t>balance the rights of the people</w:t>
      </w:r>
      <w:r w:rsidRPr="00CD4CEA">
        <w:rPr>
          <w:rFonts w:cstheme="minorHAnsi"/>
        </w:rPr>
        <w:t xml:space="preserve"> whose consent is needed with the overarching human rights risks of not sharing it? How do we manage withdrawal of consent? </w:t>
      </w:r>
      <w:r w:rsidR="00E872AC" w:rsidRPr="00CD4CEA">
        <w:rPr>
          <w:rFonts w:cstheme="minorHAnsi"/>
        </w:rPr>
        <w:t xml:space="preserve">Are there ways of using the collected information that protect privacy? These are all questions that need to be considered. </w:t>
      </w:r>
      <w:r w:rsidRPr="00CD4CEA">
        <w:rPr>
          <w:rFonts w:cstheme="minorHAnsi"/>
        </w:rPr>
        <w:t xml:space="preserve">The recently released </w:t>
      </w:r>
      <w:r w:rsidR="0016406E" w:rsidRPr="0052643A">
        <w:t>Outlining a Human-Rights Based Approach to Digital Open Source Investigations</w:t>
      </w:r>
      <w:r w:rsidRPr="00CD4CEA">
        <w:rPr>
          <w:rStyle w:val="Emphasis"/>
          <w:rFonts w:cstheme="minorHAnsi"/>
        </w:rPr>
        <w:t xml:space="preserve"> </w:t>
      </w:r>
      <w:r w:rsidRPr="00CD4CEA">
        <w:rPr>
          <w:rFonts w:cstheme="minorHAnsi"/>
        </w:rPr>
        <w:t xml:space="preserve">provides guidance for open source investigators on consent and related rights, </w:t>
      </w:r>
      <w:r w:rsidRPr="00CD4CEA">
        <w:rPr>
          <w:rFonts w:cstheme="minorHAnsi"/>
        </w:rPr>
        <w:lastRenderedPageBreak/>
        <w:t xml:space="preserve">and the </w:t>
      </w:r>
      <w:r w:rsidR="0016406E" w:rsidRPr="0052643A">
        <w:t>Murad Code</w:t>
      </w:r>
      <w:r w:rsidRPr="00CD4CEA">
        <w:rPr>
          <w:rFonts w:cstheme="minorHAnsi"/>
        </w:rPr>
        <w:t xml:space="preserve"> provides guidance on gaining informed consent from survivors of sexual and gender-based violence.</w:t>
      </w:r>
      <w:r w:rsidR="0052643A">
        <w:rPr>
          <w:rStyle w:val="FootnoteReference"/>
          <w:rFonts w:cstheme="minorHAnsi"/>
        </w:rPr>
        <w:footnoteReference w:id="61"/>
      </w:r>
    </w:p>
    <w:p w14:paraId="524D4AB8" w14:textId="77777777" w:rsidR="002774B1" w:rsidRPr="00CD4CEA" w:rsidRDefault="00D4008B" w:rsidP="005971D8">
      <w:pPr>
        <w:jc w:val="center"/>
        <w:rPr>
          <w:rFonts w:cstheme="minorHAnsi"/>
        </w:rPr>
      </w:pPr>
      <w:r w:rsidRPr="00CD4CEA">
        <w:rPr>
          <w:rFonts w:cstheme="minorHAnsi"/>
        </w:rPr>
        <w:t>\\\\\\\\\\\\\\\\\\\\\\\\\\\\\\\\\\\\\\\\\\\\\\\\\\\\\\\\\\\\\\\\\\\\\\\\\\\\\\\\\\\</w:t>
      </w:r>
    </w:p>
    <w:p w14:paraId="7A3853ED" w14:textId="77777777" w:rsidR="00D4008B" w:rsidRPr="00CD4CEA" w:rsidRDefault="00D4008B" w:rsidP="005971D8">
      <w:pPr>
        <w:rPr>
          <w:rFonts w:cstheme="minorHAnsi"/>
          <w:b/>
          <w:i/>
        </w:rPr>
      </w:pPr>
    </w:p>
    <w:p w14:paraId="10D47086" w14:textId="77777777" w:rsidR="00E31D53" w:rsidRDefault="00E31D53" w:rsidP="005971D8">
      <w:pPr>
        <w:rPr>
          <w:rFonts w:cstheme="minorHAnsi"/>
          <w:b/>
        </w:rPr>
      </w:pPr>
    </w:p>
    <w:p w14:paraId="5DF89831" w14:textId="4F4FA024" w:rsidR="002774B1" w:rsidRPr="00CD4CEA" w:rsidRDefault="002774B1" w:rsidP="005971D8">
      <w:pPr>
        <w:rPr>
          <w:rFonts w:cstheme="minorHAnsi"/>
        </w:rPr>
      </w:pPr>
      <w:r w:rsidRPr="00CD4CEA">
        <w:rPr>
          <w:rFonts w:cstheme="minorHAnsi"/>
          <w:b/>
        </w:rPr>
        <w:t>What is Your Operating Environment?</w:t>
      </w:r>
      <w:r w:rsidRPr="00CD4CEA">
        <w:rPr>
          <w:rFonts w:cstheme="minorHAnsi"/>
          <w:b/>
          <w:i/>
        </w:rPr>
        <w:t xml:space="preserve"> </w:t>
      </w:r>
      <w:r w:rsidRPr="00CD4CEA">
        <w:rPr>
          <w:rFonts w:cstheme="minorHAnsi"/>
        </w:rPr>
        <w:t xml:space="preserve">Working in contexts where violations are happening is challenging. Collecting, holding, transmitting, and </w:t>
      </w:r>
      <w:proofErr w:type="spellStart"/>
      <w:r w:rsidRPr="00CD4CEA">
        <w:rPr>
          <w:rFonts w:cstheme="minorHAnsi"/>
        </w:rPr>
        <w:t>analy</w:t>
      </w:r>
      <w:r w:rsidR="00365F8A">
        <w:rPr>
          <w:rFonts w:cstheme="minorHAnsi"/>
        </w:rPr>
        <w:t>z</w:t>
      </w:r>
      <w:r w:rsidRPr="00CD4CEA">
        <w:rPr>
          <w:rFonts w:cstheme="minorHAnsi"/>
        </w:rPr>
        <w:t>ing</w:t>
      </w:r>
      <w:proofErr w:type="spellEnd"/>
      <w:r w:rsidRPr="00CD4CEA">
        <w:rPr>
          <w:rFonts w:cstheme="minorHAnsi"/>
        </w:rPr>
        <w:t xml:space="preserve"> sensitive data comes with security risks that you will need to identify and mitigate. These days we often first think of digital security, </w:t>
      </w:r>
      <w:r w:rsidR="0016406E">
        <w:rPr>
          <w:rFonts w:cstheme="minorHAnsi"/>
        </w:rPr>
        <w:t>but</w:t>
      </w:r>
      <w:r w:rsidR="0016406E" w:rsidRPr="00CD4CEA">
        <w:rPr>
          <w:rFonts w:cstheme="minorHAnsi"/>
        </w:rPr>
        <w:t xml:space="preserve"> </w:t>
      </w:r>
      <w:r w:rsidRPr="00CD4CEA">
        <w:rPr>
          <w:rFonts w:cstheme="minorHAnsi"/>
        </w:rPr>
        <w:t>there are a set of inter-connected risks that are important to work through: digital, physical, organizational, and psycho-social. Tactical Tech’s Holistic Security guides are an excellent place to start thinking through multi-faceted security planning.</w:t>
      </w:r>
      <w:r w:rsidR="0052643A">
        <w:rPr>
          <w:rStyle w:val="FootnoteReference"/>
          <w:rFonts w:cstheme="minorHAnsi"/>
        </w:rPr>
        <w:footnoteReference w:id="62"/>
      </w:r>
      <w:r w:rsidRPr="00CD4CEA">
        <w:rPr>
          <w:rFonts w:cstheme="minorHAnsi"/>
        </w:rPr>
        <w:t xml:space="preserve"> </w:t>
      </w:r>
    </w:p>
    <w:p w14:paraId="24F37BA0" w14:textId="77777777" w:rsidR="002774B1" w:rsidRPr="00CD4CEA" w:rsidRDefault="002774B1" w:rsidP="002774B1">
      <w:pPr>
        <w:rPr>
          <w:rFonts w:cstheme="minorHAnsi"/>
        </w:rPr>
      </w:pPr>
    </w:p>
    <w:p w14:paraId="2BDA6B37" w14:textId="77348B8A" w:rsidR="002774B1" w:rsidRPr="00CD4CEA" w:rsidRDefault="002774B1" w:rsidP="002774B1">
      <w:pPr>
        <w:rPr>
          <w:rFonts w:cstheme="minorHAnsi"/>
        </w:rPr>
      </w:pPr>
      <w:r w:rsidRPr="00CD4CEA">
        <w:rPr>
          <w:rFonts w:cstheme="minorHAnsi"/>
        </w:rPr>
        <w:t xml:space="preserve">Security protocols are only as good as their implementation, so right-sizing them to the threats you face is key. Depending on the sensitivity of the situation, your risk assessment needs will vary. However, it is important to go through the exercise if only to unearth any unintended and unintentional harms that may surface if you start documenting. </w:t>
      </w:r>
    </w:p>
    <w:p w14:paraId="754FD865" w14:textId="77777777" w:rsidR="002774B1" w:rsidRPr="00CD4CEA" w:rsidRDefault="002774B1" w:rsidP="002774B1">
      <w:pPr>
        <w:rPr>
          <w:rFonts w:cstheme="minorHAnsi"/>
        </w:rPr>
      </w:pPr>
    </w:p>
    <w:p w14:paraId="132D9C78" w14:textId="77777777" w:rsidR="00DE6747" w:rsidRPr="00CD4CEA" w:rsidRDefault="00DE6747" w:rsidP="00F07F0F">
      <w:pPr>
        <w:jc w:val="center"/>
        <w:rPr>
          <w:rFonts w:cstheme="minorHAnsi"/>
          <w:b/>
        </w:rPr>
      </w:pPr>
      <w:r w:rsidRPr="00CD4CEA">
        <w:rPr>
          <w:rFonts w:cstheme="minorHAnsi"/>
          <w:b/>
        </w:rPr>
        <w:t>\\\\\\\\\\\\\\\\\\\\\\\\\\\\\\\\\\\\\\\\\\\\\\\\\\\\\\</w:t>
      </w:r>
    </w:p>
    <w:p w14:paraId="57D87225" w14:textId="2C1256C5" w:rsidR="002774B1" w:rsidRPr="00CD4CEA" w:rsidRDefault="002774B1" w:rsidP="00F07F0F">
      <w:pPr>
        <w:jc w:val="center"/>
        <w:rPr>
          <w:rFonts w:cstheme="minorHAnsi"/>
          <w:b/>
        </w:rPr>
      </w:pPr>
      <w:r w:rsidRPr="00CD4CEA">
        <w:rPr>
          <w:rFonts w:cstheme="minorHAnsi"/>
          <w:b/>
        </w:rPr>
        <w:t>[ A NOTE ABOUT THREAT MODELING]</w:t>
      </w:r>
    </w:p>
    <w:p w14:paraId="4C366070" w14:textId="77777777" w:rsidR="006674D2" w:rsidRDefault="006674D2" w:rsidP="002774B1">
      <w:pPr>
        <w:rPr>
          <w:rFonts w:cstheme="minorHAnsi"/>
          <w:b/>
        </w:rPr>
      </w:pPr>
    </w:p>
    <w:p w14:paraId="0315BE56" w14:textId="3D6C00D1" w:rsidR="00DE6747" w:rsidRPr="00CD4CEA" w:rsidRDefault="00DE6747" w:rsidP="002774B1">
      <w:pPr>
        <w:rPr>
          <w:rFonts w:cstheme="minorHAnsi"/>
        </w:rPr>
      </w:pPr>
      <w:r w:rsidRPr="00CD4CEA">
        <w:rPr>
          <w:rFonts w:cstheme="minorHAnsi"/>
        </w:rPr>
        <w:t>Tactical Tech’s Holistic Security Guide defines a threat as “a potential event or occurrence which would cause harm to ourselves or our work.</w:t>
      </w:r>
      <w:r w:rsidR="007C4BFA" w:rsidRPr="00CD4CEA">
        <w:rPr>
          <w:rFonts w:cstheme="minorHAnsi"/>
        </w:rPr>
        <w:t>”</w:t>
      </w:r>
      <w:r w:rsidR="00594A2D">
        <w:rPr>
          <w:rStyle w:val="FootnoteReference"/>
          <w:rFonts w:cstheme="minorHAnsi"/>
        </w:rPr>
        <w:footnoteReference w:id="63"/>
      </w:r>
      <w:r w:rsidRPr="00CD4CEA">
        <w:rPr>
          <w:rFonts w:cstheme="minorHAnsi"/>
        </w:rPr>
        <w:t xml:space="preserve"> The threats we face are constantly changing and our security strategy will only be effective if we acknowledge that fact and plan accordingly. </w:t>
      </w:r>
      <w:r w:rsidR="007C4BFA" w:rsidRPr="00CD4CEA">
        <w:rPr>
          <w:rFonts w:cstheme="minorHAnsi"/>
        </w:rPr>
        <w:t xml:space="preserve">A threat model is a detailed tool to assess the security situation. </w:t>
      </w:r>
    </w:p>
    <w:p w14:paraId="74339167" w14:textId="77777777" w:rsidR="00DE6747" w:rsidRPr="00CD4CEA" w:rsidRDefault="00DE6747" w:rsidP="002774B1">
      <w:pPr>
        <w:rPr>
          <w:rFonts w:cstheme="minorHAnsi"/>
        </w:rPr>
      </w:pPr>
    </w:p>
    <w:p w14:paraId="795E040B" w14:textId="77777777" w:rsidR="007C4BFA" w:rsidRPr="00CD4CEA" w:rsidRDefault="007C4BFA" w:rsidP="002774B1">
      <w:pPr>
        <w:rPr>
          <w:rFonts w:cstheme="minorHAnsi"/>
        </w:rPr>
      </w:pPr>
      <w:r w:rsidRPr="00CD4CEA">
        <w:rPr>
          <w:rFonts w:cstheme="minorHAnsi"/>
        </w:rPr>
        <w:t xml:space="preserve">A threat model is a tool that: </w:t>
      </w:r>
    </w:p>
    <w:p w14:paraId="26CE12DB" w14:textId="77777777" w:rsidR="007C4BFA" w:rsidRPr="00CD4CEA" w:rsidRDefault="007C4BFA" w:rsidP="007C4BFA">
      <w:pPr>
        <w:pStyle w:val="ListParagraph"/>
        <w:numPr>
          <w:ilvl w:val="0"/>
          <w:numId w:val="19"/>
        </w:numPr>
        <w:rPr>
          <w:rFonts w:cstheme="minorHAnsi"/>
        </w:rPr>
      </w:pPr>
      <w:r w:rsidRPr="00CD4CEA">
        <w:rPr>
          <w:rFonts w:cstheme="minorHAnsi"/>
        </w:rPr>
        <w:t>Explicitly names the threats we face</w:t>
      </w:r>
    </w:p>
    <w:p w14:paraId="4AB634F3" w14:textId="77777777" w:rsidR="007C4BFA" w:rsidRPr="00CD4CEA" w:rsidRDefault="007C4BFA" w:rsidP="007C4BFA">
      <w:pPr>
        <w:pStyle w:val="ListParagraph"/>
        <w:numPr>
          <w:ilvl w:val="0"/>
          <w:numId w:val="19"/>
        </w:numPr>
        <w:rPr>
          <w:rFonts w:cstheme="minorHAnsi"/>
        </w:rPr>
      </w:pPr>
      <w:r w:rsidRPr="00CD4CEA">
        <w:rPr>
          <w:rFonts w:cstheme="minorHAnsi"/>
        </w:rPr>
        <w:t>Examines their likelihood and impact, and</w:t>
      </w:r>
    </w:p>
    <w:p w14:paraId="43C44C9E" w14:textId="0E01983C" w:rsidR="007C4BFA" w:rsidRPr="006674D2" w:rsidRDefault="007C4BFA" w:rsidP="007C4BFA">
      <w:pPr>
        <w:pStyle w:val="ListParagraph"/>
        <w:numPr>
          <w:ilvl w:val="0"/>
          <w:numId w:val="19"/>
        </w:numPr>
        <w:rPr>
          <w:rFonts w:cstheme="minorHAnsi"/>
        </w:rPr>
      </w:pPr>
      <w:r w:rsidRPr="00CD4CEA">
        <w:rPr>
          <w:rFonts w:cstheme="minorHAnsi"/>
        </w:rPr>
        <w:t>Unpacks their potential causes and consequences</w:t>
      </w:r>
    </w:p>
    <w:p w14:paraId="5CBC1560" w14:textId="4CA31F6E" w:rsidR="00DE6747" w:rsidRPr="00CD4CEA" w:rsidRDefault="00DE6747" w:rsidP="00DE6747">
      <w:pPr>
        <w:jc w:val="center"/>
        <w:rPr>
          <w:rFonts w:eastAsia="Times New Roman" w:cstheme="minorHAnsi"/>
          <w:i/>
          <w:sz w:val="20"/>
          <w:szCs w:val="20"/>
          <w:lang w:eastAsia="en-GB"/>
        </w:rPr>
      </w:pPr>
      <w:r w:rsidRPr="00CD4CEA">
        <w:rPr>
          <w:rFonts w:cstheme="minorHAnsi"/>
          <w:noProof/>
          <w:lang w:eastAsia="en-GB"/>
        </w:rPr>
        <w:lastRenderedPageBreak/>
        <w:drawing>
          <wp:inline distT="0" distB="0" distL="0" distR="0" wp14:anchorId="6A98A98F" wp14:editId="41D61026">
            <wp:extent cx="5393267" cy="3794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89695" cy="3791631"/>
                    </a:xfrm>
                    <a:prstGeom prst="rect">
                      <a:avLst/>
                    </a:prstGeom>
                  </pic:spPr>
                </pic:pic>
              </a:graphicData>
            </a:graphic>
          </wp:inline>
        </w:drawing>
      </w:r>
      <w:r w:rsidR="00FC112D">
        <w:rPr>
          <w:rFonts w:eastAsia="Times New Roman" w:cstheme="minorHAnsi"/>
          <w:i/>
          <w:sz w:val="20"/>
          <w:szCs w:val="20"/>
          <w:lang w:eastAsia="en-GB"/>
        </w:rPr>
        <w:t xml:space="preserve">Matrix </w:t>
      </w:r>
      <w:r w:rsidR="006674D2">
        <w:rPr>
          <w:rFonts w:eastAsia="Times New Roman" w:cstheme="minorHAnsi"/>
          <w:i/>
          <w:sz w:val="20"/>
          <w:szCs w:val="20"/>
          <w:lang w:eastAsia="en-GB"/>
        </w:rPr>
        <w:t>from</w:t>
      </w:r>
      <w:r w:rsidR="00FC112D">
        <w:rPr>
          <w:rFonts w:eastAsia="Times New Roman" w:cstheme="minorHAnsi"/>
          <w:i/>
          <w:sz w:val="20"/>
          <w:szCs w:val="20"/>
          <w:lang w:eastAsia="en-GB"/>
        </w:rPr>
        <w:t xml:space="preserve"> Tactical Tech</w:t>
      </w:r>
      <w:r w:rsidR="006674D2">
        <w:rPr>
          <w:rFonts w:eastAsia="Times New Roman" w:cstheme="minorHAnsi"/>
          <w:i/>
          <w:sz w:val="20"/>
          <w:szCs w:val="20"/>
          <w:lang w:eastAsia="en-GB"/>
        </w:rPr>
        <w:t>’s Holistic Security Manual</w:t>
      </w:r>
      <w:r w:rsidR="00FC112D">
        <w:rPr>
          <w:rStyle w:val="FootnoteReference"/>
          <w:rFonts w:eastAsia="Times New Roman" w:cstheme="minorHAnsi"/>
          <w:i/>
          <w:sz w:val="20"/>
          <w:szCs w:val="20"/>
          <w:lang w:eastAsia="en-GB"/>
        </w:rPr>
        <w:footnoteReference w:id="64"/>
      </w:r>
    </w:p>
    <w:p w14:paraId="26148AF1" w14:textId="77777777" w:rsidR="00F10752" w:rsidRPr="00F17564" w:rsidRDefault="00F10752" w:rsidP="00F07F0F">
      <w:pPr>
        <w:rPr>
          <w:rFonts w:cstheme="minorHAnsi"/>
        </w:rPr>
      </w:pPr>
    </w:p>
    <w:p w14:paraId="368CE4C2" w14:textId="7A875C6A" w:rsidR="00F07F0F" w:rsidRPr="003F449B" w:rsidRDefault="00F07F0F" w:rsidP="00F07F0F">
      <w:pPr>
        <w:rPr>
          <w:rFonts w:eastAsia="Times New Roman" w:cstheme="minorHAnsi"/>
          <w:lang w:eastAsia="en-GB"/>
        </w:rPr>
      </w:pPr>
      <w:r w:rsidRPr="003F449B">
        <w:rPr>
          <w:rFonts w:cstheme="minorHAnsi"/>
        </w:rPr>
        <w:t xml:space="preserve">A threat model can include prevention measures as well as tactics to respond to threats should the threat occur, with the end goal of reducing a particular threat’s likelihood and possible impact. Threat </w:t>
      </w:r>
      <w:proofErr w:type="spellStart"/>
      <w:r w:rsidRPr="003F449B">
        <w:rPr>
          <w:rFonts w:cstheme="minorHAnsi"/>
        </w:rPr>
        <w:t>modeling</w:t>
      </w:r>
      <w:proofErr w:type="spellEnd"/>
      <w:r w:rsidRPr="003F449B">
        <w:rPr>
          <w:rFonts w:cstheme="minorHAnsi"/>
        </w:rPr>
        <w:t xml:space="preserve"> is </w:t>
      </w:r>
      <w:r w:rsidRPr="003F449B">
        <w:rPr>
          <w:rFonts w:eastAsia="Times New Roman" w:cstheme="minorHAnsi"/>
          <w:lang w:eastAsia="en-GB"/>
        </w:rPr>
        <w:t>something</w:t>
      </w:r>
      <w:r w:rsidR="00594A2D">
        <w:rPr>
          <w:rFonts w:eastAsia="Times New Roman" w:cstheme="minorHAnsi"/>
          <w:lang w:eastAsia="en-GB"/>
        </w:rPr>
        <w:t xml:space="preserve"> we do in our daily life without realizing it. </w:t>
      </w:r>
      <w:r w:rsidRPr="003F449B">
        <w:rPr>
          <w:rFonts w:eastAsia="Times New Roman" w:cstheme="minorHAnsi"/>
          <w:lang w:eastAsia="en-GB"/>
        </w:rPr>
        <w:t xml:space="preserve">For example, </w:t>
      </w:r>
      <w:r w:rsidR="00F10752" w:rsidRPr="003F449B">
        <w:rPr>
          <w:rFonts w:eastAsia="Times New Roman" w:cstheme="minorHAnsi"/>
          <w:lang w:eastAsia="en-GB"/>
        </w:rPr>
        <w:t>you</w:t>
      </w:r>
      <w:r w:rsidRPr="003F449B">
        <w:rPr>
          <w:rFonts w:eastAsia="Times New Roman" w:cstheme="minorHAnsi"/>
          <w:lang w:eastAsia="en-GB"/>
        </w:rPr>
        <w:t xml:space="preserve"> may make small calculations</w:t>
      </w:r>
      <w:r w:rsidR="00E10E74" w:rsidRPr="003F449B">
        <w:rPr>
          <w:rFonts w:eastAsia="Times New Roman" w:cstheme="minorHAnsi"/>
          <w:lang w:eastAsia="en-GB"/>
        </w:rPr>
        <w:t xml:space="preserve"> when walking home late at night</w:t>
      </w:r>
      <w:r w:rsidRPr="003F449B">
        <w:rPr>
          <w:rFonts w:eastAsia="Times New Roman" w:cstheme="minorHAnsi"/>
          <w:lang w:eastAsia="en-GB"/>
        </w:rPr>
        <w:t>: walking on better lighted streets</w:t>
      </w:r>
      <w:r w:rsidR="00E10E74" w:rsidRPr="003F449B">
        <w:rPr>
          <w:rFonts w:eastAsia="Times New Roman" w:cstheme="minorHAnsi"/>
          <w:lang w:eastAsia="en-GB"/>
        </w:rPr>
        <w:t>,</w:t>
      </w:r>
      <w:r w:rsidRPr="003F449B">
        <w:rPr>
          <w:rFonts w:eastAsia="Times New Roman" w:cstheme="minorHAnsi"/>
          <w:lang w:eastAsia="en-GB"/>
        </w:rPr>
        <w:t xml:space="preserve"> calling a friend</w:t>
      </w:r>
      <w:r w:rsidR="00E10E74" w:rsidRPr="003F449B">
        <w:rPr>
          <w:rFonts w:eastAsia="Times New Roman" w:cstheme="minorHAnsi"/>
          <w:lang w:eastAsia="en-GB"/>
        </w:rPr>
        <w:t>, or</w:t>
      </w:r>
      <w:r w:rsidRPr="003F449B">
        <w:rPr>
          <w:rFonts w:eastAsia="Times New Roman" w:cstheme="minorHAnsi"/>
          <w:lang w:eastAsia="en-GB"/>
        </w:rPr>
        <w:t xml:space="preserve"> threading your keys through your fingers to decrease the likelihood and impact of threat faced. </w:t>
      </w:r>
      <w:r w:rsidR="00FC112D">
        <w:rPr>
          <w:rFonts w:eastAsia="Times New Roman" w:cstheme="minorHAnsi"/>
          <w:lang w:eastAsia="en-GB"/>
        </w:rPr>
        <w:t xml:space="preserve">A threat </w:t>
      </w:r>
      <w:proofErr w:type="spellStart"/>
      <w:r w:rsidR="00FC112D">
        <w:rPr>
          <w:rFonts w:eastAsia="Times New Roman" w:cstheme="minorHAnsi"/>
          <w:lang w:eastAsia="en-GB"/>
        </w:rPr>
        <w:t>modeling</w:t>
      </w:r>
      <w:proofErr w:type="spellEnd"/>
      <w:r w:rsidR="00FC112D">
        <w:rPr>
          <w:rFonts w:eastAsia="Times New Roman" w:cstheme="minorHAnsi"/>
          <w:lang w:eastAsia="en-GB"/>
        </w:rPr>
        <w:t xml:space="preserve"> process makes these decisions more overt, detailed, and deliberate.</w:t>
      </w:r>
      <w:r w:rsidR="00FC112D">
        <w:rPr>
          <w:rStyle w:val="FootnoteReference"/>
          <w:rFonts w:eastAsia="Times New Roman" w:cstheme="minorHAnsi"/>
          <w:lang w:eastAsia="en-GB"/>
        </w:rPr>
        <w:footnoteReference w:id="65"/>
      </w:r>
    </w:p>
    <w:p w14:paraId="0F1A4C4B" w14:textId="77777777" w:rsidR="000573DA" w:rsidRPr="003F449B" w:rsidRDefault="000573DA" w:rsidP="00F07F0F">
      <w:pPr>
        <w:rPr>
          <w:rFonts w:cstheme="minorHAnsi"/>
        </w:rPr>
      </w:pPr>
    </w:p>
    <w:p w14:paraId="5630BAFF" w14:textId="77777777" w:rsidR="002774B1" w:rsidRPr="00CD4CEA" w:rsidRDefault="00DE6747" w:rsidP="00F07F0F">
      <w:pPr>
        <w:jc w:val="center"/>
        <w:rPr>
          <w:rFonts w:cstheme="minorHAnsi"/>
        </w:rPr>
      </w:pPr>
      <w:r w:rsidRPr="00CD4CEA">
        <w:rPr>
          <w:rFonts w:cstheme="minorHAnsi"/>
        </w:rPr>
        <w:t>\\\\\\\\\\\\\\\\\\\\\\\\\\\\\\\\\\\\\\\\\\\\\\\\\\\\\\\\\\\\\\\\\\\\\\\\\\\\\\\\\\\\\\\\\</w:t>
      </w:r>
    </w:p>
    <w:p w14:paraId="26829E48" w14:textId="77777777" w:rsidR="00DE6747" w:rsidRPr="00CD4CEA" w:rsidRDefault="00DE6747" w:rsidP="002774B1">
      <w:pPr>
        <w:rPr>
          <w:rFonts w:cstheme="minorHAnsi"/>
        </w:rPr>
      </w:pPr>
    </w:p>
    <w:p w14:paraId="7BFEFB3B" w14:textId="0885BC21" w:rsidR="002774B1" w:rsidRPr="00CD4CEA" w:rsidRDefault="002774B1" w:rsidP="002774B1">
      <w:pPr>
        <w:rPr>
          <w:rFonts w:cstheme="minorHAnsi"/>
        </w:rPr>
      </w:pPr>
      <w:r w:rsidRPr="00CD4CEA">
        <w:rPr>
          <w:rFonts w:cstheme="minorHAnsi"/>
        </w:rPr>
        <w:t>To be a responsible and ethical documenter, you have a duty of care to ensure that everyone involved in this operation faces the minimal risk possible and knows about any possible associated risks. The particulars of your operating environment will shape how and through what methods you conduct your documentation.</w:t>
      </w:r>
      <w:r w:rsidR="006674D2">
        <w:rPr>
          <w:rFonts w:cstheme="minorHAnsi"/>
        </w:rPr>
        <w:t xml:space="preserve"> </w:t>
      </w:r>
      <w:r w:rsidR="009D5947">
        <w:rPr>
          <w:rFonts w:cstheme="minorHAnsi"/>
        </w:rPr>
        <w:t xml:space="preserve">When thinking about your operating environment and duty of care, thought should be given both to those documenting the violations </w:t>
      </w:r>
      <w:r w:rsidR="009D5947">
        <w:rPr>
          <w:rFonts w:cstheme="minorHAnsi"/>
          <w:i/>
        </w:rPr>
        <w:t>and</w:t>
      </w:r>
      <w:r w:rsidR="009D5947">
        <w:rPr>
          <w:rFonts w:cstheme="minorHAnsi"/>
        </w:rPr>
        <w:t xml:space="preserve"> those reviewing and working with the files. The effects of this work can be felt far from the frontlines and measures to assuage vicarious trauma should be considered along with risk mitigation measures for those collecting documentation.</w:t>
      </w:r>
      <w:r w:rsidR="009D5947">
        <w:rPr>
          <w:rStyle w:val="FootnoteReference"/>
          <w:rFonts w:cstheme="minorHAnsi"/>
        </w:rPr>
        <w:footnoteReference w:id="66"/>
      </w:r>
    </w:p>
    <w:p w14:paraId="7FF906C8" w14:textId="77777777" w:rsidR="002774B1" w:rsidRPr="00CD4CEA" w:rsidRDefault="002774B1" w:rsidP="002774B1">
      <w:pPr>
        <w:rPr>
          <w:rFonts w:cstheme="minorHAnsi"/>
        </w:rPr>
      </w:pPr>
    </w:p>
    <w:p w14:paraId="0F862CB5" w14:textId="77777777" w:rsidR="002774B1" w:rsidRPr="00CD4CEA" w:rsidRDefault="002774B1" w:rsidP="002774B1">
      <w:pPr>
        <w:rPr>
          <w:rFonts w:cstheme="minorHAnsi"/>
        </w:rPr>
      </w:pPr>
    </w:p>
    <w:p w14:paraId="296DCD95" w14:textId="1A233204" w:rsidR="002774B1" w:rsidRPr="00CD4CEA" w:rsidRDefault="002774B1" w:rsidP="002774B1">
      <w:pPr>
        <w:rPr>
          <w:rFonts w:cstheme="minorHAnsi"/>
          <w:b/>
        </w:rPr>
      </w:pPr>
      <w:r w:rsidRPr="00CD4CEA">
        <w:rPr>
          <w:rFonts w:cstheme="minorHAnsi"/>
          <w:b/>
        </w:rPr>
        <w:t xml:space="preserve">When </w:t>
      </w:r>
      <w:r w:rsidR="000573DA" w:rsidRPr="00CD4CEA">
        <w:rPr>
          <w:rFonts w:cstheme="minorHAnsi"/>
          <w:b/>
        </w:rPr>
        <w:t>Y</w:t>
      </w:r>
      <w:r w:rsidRPr="00CD4CEA">
        <w:rPr>
          <w:rFonts w:cstheme="minorHAnsi"/>
          <w:b/>
        </w:rPr>
        <w:t xml:space="preserve">ou </w:t>
      </w:r>
      <w:r w:rsidR="000573DA" w:rsidRPr="00CD4CEA">
        <w:rPr>
          <w:rFonts w:cstheme="minorHAnsi"/>
          <w:b/>
        </w:rPr>
        <w:t>S</w:t>
      </w:r>
      <w:r w:rsidRPr="00CD4CEA">
        <w:rPr>
          <w:rFonts w:cstheme="minorHAnsi"/>
          <w:b/>
        </w:rPr>
        <w:t xml:space="preserve">houldn’t </w:t>
      </w:r>
      <w:r w:rsidR="000573DA" w:rsidRPr="00CD4CEA">
        <w:rPr>
          <w:rFonts w:cstheme="minorHAnsi"/>
          <w:b/>
        </w:rPr>
        <w:t>D</w:t>
      </w:r>
      <w:r w:rsidRPr="00CD4CEA">
        <w:rPr>
          <w:rFonts w:cstheme="minorHAnsi"/>
          <w:b/>
        </w:rPr>
        <w:t>ocument</w:t>
      </w:r>
      <w:r w:rsidR="00E872AC" w:rsidRPr="00CD4CEA">
        <w:rPr>
          <w:rFonts w:cstheme="minorHAnsi"/>
          <w:b/>
        </w:rPr>
        <w:t xml:space="preserve">. </w:t>
      </w:r>
      <w:r w:rsidRPr="00CD4CEA">
        <w:rPr>
          <w:rFonts w:cstheme="minorHAnsi"/>
        </w:rPr>
        <w:t>We often start from the point that do</w:t>
      </w:r>
      <w:r w:rsidR="000573DA" w:rsidRPr="00CD4CEA">
        <w:rPr>
          <w:rFonts w:cstheme="minorHAnsi"/>
        </w:rPr>
        <w:t>ing</w:t>
      </w:r>
      <w:r w:rsidRPr="00CD4CEA">
        <w:rPr>
          <w:rFonts w:cstheme="minorHAnsi"/>
        </w:rPr>
        <w:t xml:space="preserve"> something is better than doing nothing. This could not be further from the truth. Well-intentioned but badly formulated and </w:t>
      </w:r>
      <w:r w:rsidRPr="00CD4CEA">
        <w:rPr>
          <w:rFonts w:cstheme="minorHAnsi"/>
        </w:rPr>
        <w:lastRenderedPageBreak/>
        <w:t>implemented efforts distract</w:t>
      </w:r>
      <w:r w:rsidR="00BC22D6" w:rsidRPr="00CD4CEA">
        <w:rPr>
          <w:rFonts w:cstheme="minorHAnsi"/>
        </w:rPr>
        <w:t xml:space="preserve"> from</w:t>
      </w:r>
      <w:r w:rsidRPr="00CD4CEA">
        <w:rPr>
          <w:rFonts w:cstheme="minorHAnsi"/>
        </w:rPr>
        <w:t xml:space="preserve"> (at best) or harm (at worst) those who are working ethically and responsibly toward a goal. </w:t>
      </w:r>
    </w:p>
    <w:p w14:paraId="74749EF3" w14:textId="77777777" w:rsidR="002774B1" w:rsidRPr="00CD4CEA" w:rsidRDefault="002774B1" w:rsidP="002774B1">
      <w:pPr>
        <w:rPr>
          <w:rFonts w:cstheme="minorHAnsi"/>
          <w:b/>
        </w:rPr>
      </w:pPr>
    </w:p>
    <w:p w14:paraId="3902B79B" w14:textId="534279ED" w:rsidR="002774B1" w:rsidRPr="00CD4CEA" w:rsidRDefault="002774B1" w:rsidP="002774B1">
      <w:pPr>
        <w:rPr>
          <w:rFonts w:cstheme="minorHAnsi"/>
          <w:b/>
        </w:rPr>
      </w:pPr>
      <w:r w:rsidRPr="00CD4CEA">
        <w:rPr>
          <w:rFonts w:cstheme="minorHAnsi"/>
          <w:b/>
        </w:rPr>
        <w:t>In short, just because you can, does</w:t>
      </w:r>
      <w:r w:rsidR="00BC22D6" w:rsidRPr="00CD4CEA">
        <w:rPr>
          <w:rFonts w:cstheme="minorHAnsi"/>
          <w:b/>
        </w:rPr>
        <w:t xml:space="preserve"> not</w:t>
      </w:r>
      <w:r w:rsidRPr="00CD4CEA">
        <w:rPr>
          <w:rFonts w:cstheme="minorHAnsi"/>
          <w:b/>
        </w:rPr>
        <w:t xml:space="preserve"> mean you should. </w:t>
      </w:r>
    </w:p>
    <w:p w14:paraId="384A7B5E" w14:textId="77777777" w:rsidR="002774B1" w:rsidRPr="00CD4CEA" w:rsidRDefault="002774B1" w:rsidP="002774B1">
      <w:pPr>
        <w:rPr>
          <w:rFonts w:cstheme="minorHAnsi"/>
        </w:rPr>
      </w:pPr>
    </w:p>
    <w:p w14:paraId="1C6B989F" w14:textId="63642F5E" w:rsidR="002774B1" w:rsidRPr="00CD4CEA" w:rsidRDefault="002774B1" w:rsidP="002774B1">
      <w:pPr>
        <w:rPr>
          <w:rFonts w:cstheme="minorHAnsi"/>
        </w:rPr>
      </w:pPr>
      <w:r w:rsidRPr="00CD4CEA">
        <w:rPr>
          <w:rFonts w:cstheme="minorHAnsi"/>
        </w:rPr>
        <w:t>If you do</w:t>
      </w:r>
      <w:r w:rsidR="00BC22D6" w:rsidRPr="00CD4CEA">
        <w:rPr>
          <w:rFonts w:cstheme="minorHAnsi"/>
        </w:rPr>
        <w:t xml:space="preserve"> not</w:t>
      </w:r>
      <w:r w:rsidRPr="00CD4CEA">
        <w:rPr>
          <w:rFonts w:cstheme="minorHAnsi"/>
        </w:rPr>
        <w:t xml:space="preserve"> have solid answers for the questions above or have</w:t>
      </w:r>
      <w:r w:rsidR="00BC22D6" w:rsidRPr="00CD4CEA">
        <w:rPr>
          <w:rFonts w:cstheme="minorHAnsi"/>
        </w:rPr>
        <w:t xml:space="preserve"> not</w:t>
      </w:r>
      <w:r w:rsidRPr="00CD4CEA">
        <w:rPr>
          <w:rFonts w:cstheme="minorHAnsi"/>
        </w:rPr>
        <w:t xml:space="preserve"> conducted those steps, you</w:t>
      </w:r>
      <w:r w:rsidR="001322B5" w:rsidRPr="00CD4CEA">
        <w:rPr>
          <w:rFonts w:cstheme="minorHAnsi"/>
        </w:rPr>
        <w:t>r</w:t>
      </w:r>
      <w:r w:rsidRPr="00CD4CEA">
        <w:rPr>
          <w:rFonts w:cstheme="minorHAnsi"/>
        </w:rPr>
        <w:t xml:space="preserve"> best course of action is to support those who have. </w:t>
      </w:r>
    </w:p>
    <w:p w14:paraId="66CACC93" w14:textId="77777777" w:rsidR="00E872AC" w:rsidRPr="00CD4CEA" w:rsidRDefault="00E872AC" w:rsidP="002774B1">
      <w:pPr>
        <w:rPr>
          <w:rFonts w:cstheme="minorHAnsi"/>
        </w:rPr>
      </w:pPr>
    </w:p>
    <w:p w14:paraId="0D1701D1" w14:textId="77777777" w:rsidR="00E872AC" w:rsidRPr="00CD4CEA" w:rsidRDefault="00E872AC" w:rsidP="002774B1">
      <w:pPr>
        <w:rPr>
          <w:rFonts w:cstheme="minorHAnsi"/>
        </w:rPr>
      </w:pPr>
    </w:p>
    <w:p w14:paraId="46AD5D4E" w14:textId="0552CFC4" w:rsidR="002774B1" w:rsidRPr="00CD4CEA" w:rsidRDefault="00780D11" w:rsidP="002774B1">
      <w:pPr>
        <w:rPr>
          <w:rFonts w:cstheme="minorHAnsi"/>
          <w:b/>
        </w:rPr>
      </w:pPr>
      <w:r w:rsidRPr="00CD4CEA">
        <w:rPr>
          <w:rFonts w:cstheme="minorHAnsi"/>
          <w:b/>
        </w:rPr>
        <w:t>Collect</w:t>
      </w:r>
    </w:p>
    <w:p w14:paraId="03E163E3" w14:textId="0143174D" w:rsidR="002774B1" w:rsidRPr="00CD4CEA" w:rsidRDefault="009A58A4" w:rsidP="002774B1">
      <w:pPr>
        <w:rPr>
          <w:rFonts w:cstheme="minorHAnsi"/>
        </w:rPr>
      </w:pPr>
      <w:r w:rsidRPr="00CD4CEA">
        <w:rPr>
          <w:rFonts w:cstheme="minorHAnsi"/>
        </w:rPr>
        <w:t xml:space="preserve">The understanding you have developed during the planning stage </w:t>
      </w:r>
      <w:r w:rsidR="00EC15AA" w:rsidRPr="00CD4CEA">
        <w:rPr>
          <w:rFonts w:cstheme="minorHAnsi"/>
        </w:rPr>
        <w:t>o</w:t>
      </w:r>
      <w:r w:rsidR="00EC15AA">
        <w:rPr>
          <w:rFonts w:cstheme="minorHAnsi"/>
        </w:rPr>
        <w:t>f</w:t>
      </w:r>
      <w:r w:rsidR="00EC15AA" w:rsidRPr="00CD4CEA">
        <w:rPr>
          <w:rFonts w:cstheme="minorHAnsi"/>
        </w:rPr>
        <w:t xml:space="preserve"> </w:t>
      </w:r>
      <w:r w:rsidRPr="00CD4CEA">
        <w:rPr>
          <w:rFonts w:cstheme="minorHAnsi"/>
        </w:rPr>
        <w:t>the gaps in documentation, the operating environment, and the theory of change and goals for your efforts</w:t>
      </w:r>
      <w:r w:rsidR="000A4924" w:rsidRPr="00CD4CEA">
        <w:rPr>
          <w:rFonts w:cstheme="minorHAnsi"/>
        </w:rPr>
        <w:t>,</w:t>
      </w:r>
      <w:r w:rsidRPr="00CD4CEA">
        <w:rPr>
          <w:rFonts w:cstheme="minorHAnsi"/>
        </w:rPr>
        <w:t xml:space="preserve"> </w:t>
      </w:r>
      <w:r w:rsidR="00965176" w:rsidRPr="00CD4CEA">
        <w:rPr>
          <w:rFonts w:cstheme="minorHAnsi"/>
        </w:rPr>
        <w:t>provides the baseline for how you document and what tools you use to do so. As you assess the tools and skills that you will need, there are many factors to consider including access, manpower, resources, equipment, skills, and the desired type of documentation.</w:t>
      </w:r>
      <w:r w:rsidR="00333106" w:rsidRPr="00CD4CEA">
        <w:rPr>
          <w:rFonts w:cstheme="minorHAnsi"/>
        </w:rPr>
        <w:t xml:space="preserve"> </w:t>
      </w:r>
      <w:r w:rsidR="002774B1" w:rsidRPr="00CD4CEA">
        <w:rPr>
          <w:rFonts w:cstheme="minorHAnsi"/>
        </w:rPr>
        <w:t xml:space="preserve">Each method and tool </w:t>
      </w:r>
      <w:r w:rsidR="00333106" w:rsidRPr="00CD4CEA">
        <w:rPr>
          <w:rFonts w:cstheme="minorHAnsi"/>
        </w:rPr>
        <w:t>should be</w:t>
      </w:r>
      <w:r w:rsidR="002774B1" w:rsidRPr="00CD4CEA">
        <w:rPr>
          <w:rFonts w:cstheme="minorHAnsi"/>
        </w:rPr>
        <w:t xml:space="preserve"> selected </w:t>
      </w:r>
      <w:r w:rsidR="00333106" w:rsidRPr="00CD4CEA">
        <w:rPr>
          <w:rFonts w:cstheme="minorHAnsi"/>
        </w:rPr>
        <w:t xml:space="preserve">with consideration for </w:t>
      </w:r>
      <w:r w:rsidR="002774B1" w:rsidRPr="00CD4CEA">
        <w:rPr>
          <w:rFonts w:cstheme="minorHAnsi"/>
        </w:rPr>
        <w:t>the particular risks and to the objectives</w:t>
      </w:r>
      <w:r w:rsidR="00333106" w:rsidRPr="00CD4CEA">
        <w:rPr>
          <w:rFonts w:cstheme="minorHAnsi"/>
        </w:rPr>
        <w:t xml:space="preserve"> you have identified in your planning</w:t>
      </w:r>
      <w:r w:rsidR="002774B1" w:rsidRPr="00CD4CEA">
        <w:rPr>
          <w:rFonts w:cstheme="minorHAnsi"/>
        </w:rPr>
        <w:t>. Generally sp</w:t>
      </w:r>
      <w:r w:rsidR="00333106" w:rsidRPr="00CD4CEA">
        <w:rPr>
          <w:rFonts w:cstheme="minorHAnsi"/>
        </w:rPr>
        <w:t>eaking, the higher the risks</w:t>
      </w:r>
      <w:r w:rsidR="002774B1" w:rsidRPr="00CD4CEA">
        <w:rPr>
          <w:rFonts w:cstheme="minorHAnsi"/>
        </w:rPr>
        <w:t>, the more precautions</w:t>
      </w:r>
      <w:r w:rsidR="00333106" w:rsidRPr="00CD4CEA">
        <w:rPr>
          <w:rFonts w:cstheme="minorHAnsi"/>
        </w:rPr>
        <w:t xml:space="preserve"> are necessary from the outset</w:t>
      </w:r>
      <w:r w:rsidR="002774B1" w:rsidRPr="00CD4CEA">
        <w:rPr>
          <w:rFonts w:cstheme="minorHAnsi"/>
        </w:rPr>
        <w:t xml:space="preserve">. </w:t>
      </w:r>
      <w:r w:rsidR="00333106" w:rsidRPr="00CD4CEA">
        <w:rPr>
          <w:rFonts w:cstheme="minorHAnsi"/>
        </w:rPr>
        <w:t xml:space="preserve"> </w:t>
      </w:r>
    </w:p>
    <w:p w14:paraId="78C1BA2D" w14:textId="77777777" w:rsidR="002774B1" w:rsidRPr="00CD4CEA" w:rsidRDefault="002774B1" w:rsidP="002774B1">
      <w:pPr>
        <w:rPr>
          <w:rFonts w:cstheme="minorHAnsi"/>
          <w:u w:val="single"/>
        </w:rPr>
      </w:pPr>
    </w:p>
    <w:p w14:paraId="3B1051D3" w14:textId="3341A9E8" w:rsidR="00333106" w:rsidRPr="00CD4CEA" w:rsidRDefault="00333106" w:rsidP="002774B1">
      <w:pPr>
        <w:rPr>
          <w:rFonts w:cstheme="minorHAnsi"/>
        </w:rPr>
      </w:pPr>
      <w:r w:rsidRPr="00CD4CEA">
        <w:rPr>
          <w:rFonts w:cstheme="minorHAnsi"/>
        </w:rPr>
        <w:t>How you collect documentation will vary whether you are creating new documentation (</w:t>
      </w:r>
      <w:r w:rsidR="00AE3F84" w:rsidRPr="00CD4CEA">
        <w:rPr>
          <w:rFonts w:cstheme="minorHAnsi"/>
        </w:rPr>
        <w:t>e.g.</w:t>
      </w:r>
      <w:r w:rsidRPr="00CD4CEA">
        <w:rPr>
          <w:rFonts w:cstheme="minorHAnsi"/>
        </w:rPr>
        <w:t>, new videos, still images, audio files</w:t>
      </w:r>
      <w:r w:rsidR="00174973" w:rsidRPr="00CD4CEA">
        <w:rPr>
          <w:rFonts w:cstheme="minorHAnsi"/>
        </w:rPr>
        <w:t>, writ</w:t>
      </w:r>
      <w:r w:rsidR="00BC22D6" w:rsidRPr="00CD4CEA">
        <w:rPr>
          <w:rFonts w:cstheme="minorHAnsi"/>
        </w:rPr>
        <w:t>ten</w:t>
      </w:r>
      <w:r w:rsidR="00174973" w:rsidRPr="00CD4CEA">
        <w:rPr>
          <w:rFonts w:cstheme="minorHAnsi"/>
        </w:rPr>
        <w:t xml:space="preserve"> data points</w:t>
      </w:r>
      <w:r w:rsidR="00DD2D18" w:rsidRPr="00CD4CEA">
        <w:rPr>
          <w:rFonts w:cstheme="minorHAnsi"/>
        </w:rPr>
        <w:t>) or collecting existing documentation (either closed or open-source) created by someone else. If you are creating new documentation, you will need to think about the recording device you are using. This could be</w:t>
      </w:r>
      <w:r w:rsidR="00174973" w:rsidRPr="00CD4CEA">
        <w:rPr>
          <w:rFonts w:cstheme="minorHAnsi"/>
        </w:rPr>
        <w:t xml:space="preserve"> pen and paper,</w:t>
      </w:r>
      <w:r w:rsidR="00DD2D18" w:rsidRPr="00CD4CEA">
        <w:rPr>
          <w:rFonts w:cstheme="minorHAnsi"/>
        </w:rPr>
        <w:t xml:space="preserve"> your mobile phone</w:t>
      </w:r>
      <w:r w:rsidR="00174973" w:rsidRPr="00CD4CEA">
        <w:rPr>
          <w:rFonts w:cstheme="minorHAnsi"/>
        </w:rPr>
        <w:t>,</w:t>
      </w:r>
      <w:r w:rsidR="00DD2D18" w:rsidRPr="00CD4CEA">
        <w:rPr>
          <w:rFonts w:cstheme="minorHAnsi"/>
        </w:rPr>
        <w:t xml:space="preserve"> or it could be another piece of equipment. You will want to consider what you will be recording </w:t>
      </w:r>
      <w:r w:rsidR="00DD2D18" w:rsidRPr="003F449B">
        <w:rPr>
          <w:rFonts w:cstheme="minorHAnsi"/>
        </w:rPr>
        <w:t>–</w:t>
      </w:r>
      <w:r w:rsidR="00DD2D18" w:rsidRPr="00CD4CEA">
        <w:rPr>
          <w:rFonts w:cstheme="minorHAnsi"/>
        </w:rPr>
        <w:t xml:space="preserve"> for example, testimony, daily reality, or active violations </w:t>
      </w:r>
      <w:r w:rsidR="00DD2D18" w:rsidRPr="003F449B">
        <w:rPr>
          <w:rFonts w:cstheme="minorHAnsi"/>
        </w:rPr>
        <w:t>–</w:t>
      </w:r>
      <w:r w:rsidR="00DD2D18" w:rsidRPr="00CD4CEA">
        <w:rPr>
          <w:rFonts w:cstheme="minorHAnsi"/>
        </w:rPr>
        <w:t xml:space="preserve"> as well as cost, ease of use, skill level, noticeability, output quality, and authentication availability (including but not limited to metadata capture). </w:t>
      </w:r>
    </w:p>
    <w:p w14:paraId="7C1FE0B1" w14:textId="77777777" w:rsidR="00DD2D18" w:rsidRPr="00CD4CEA" w:rsidRDefault="00DD2D18" w:rsidP="002774B1">
      <w:pPr>
        <w:rPr>
          <w:rFonts w:cstheme="minorHAnsi"/>
        </w:rPr>
      </w:pPr>
    </w:p>
    <w:p w14:paraId="6DFBECB8" w14:textId="731DDB5C" w:rsidR="002F7DC4" w:rsidRPr="00CD4CEA" w:rsidRDefault="00174973" w:rsidP="002774B1">
      <w:pPr>
        <w:rPr>
          <w:rFonts w:cstheme="minorHAnsi"/>
        </w:rPr>
      </w:pPr>
      <w:r w:rsidRPr="00CD4CEA">
        <w:rPr>
          <w:rFonts w:cstheme="minorHAnsi"/>
        </w:rPr>
        <w:t>In contrast, c</w:t>
      </w:r>
      <w:r w:rsidR="00DD2D18" w:rsidRPr="00CD4CEA">
        <w:rPr>
          <w:rFonts w:cstheme="minorHAnsi"/>
        </w:rPr>
        <w:t xml:space="preserve">ollecting existing documentation </w:t>
      </w:r>
      <w:r w:rsidRPr="00CD4CEA">
        <w:rPr>
          <w:rFonts w:cstheme="minorHAnsi"/>
        </w:rPr>
        <w:t>is collecting documentation that someone else created. This could be physical or digital documents (</w:t>
      </w:r>
      <w:r w:rsidR="00BC22D6" w:rsidRPr="00CD4CEA">
        <w:rPr>
          <w:rFonts w:cstheme="minorHAnsi"/>
        </w:rPr>
        <w:t>e.g.</w:t>
      </w:r>
      <w:r w:rsidR="00E10E74">
        <w:rPr>
          <w:rFonts w:cstheme="minorHAnsi"/>
        </w:rPr>
        <w:t>,</w:t>
      </w:r>
      <w:r w:rsidRPr="00CD4CEA">
        <w:rPr>
          <w:rFonts w:cstheme="minorHAnsi"/>
        </w:rPr>
        <w:t xml:space="preserve"> birth or death certificates, medical reports, land deeds, maps, policy memos, court proceedings), social media content, or satellite imagery for example. </w:t>
      </w:r>
      <w:r w:rsidR="002F7DC4" w:rsidRPr="00CD4CEA">
        <w:rPr>
          <w:rFonts w:cstheme="minorHAnsi"/>
        </w:rPr>
        <w:t>While collecting existing physical and digital documentation does not require you to think through which recording device you will use, it does require significant</w:t>
      </w:r>
      <w:r w:rsidR="002774B1" w:rsidRPr="00CD4CEA">
        <w:rPr>
          <w:rFonts w:cstheme="minorHAnsi"/>
        </w:rPr>
        <w:t xml:space="preserve"> understanding of evidence admis</w:t>
      </w:r>
      <w:r w:rsidR="002F7DC4" w:rsidRPr="00CD4CEA">
        <w:rPr>
          <w:rFonts w:cstheme="minorHAnsi"/>
        </w:rPr>
        <w:t>sibility and chain of custody to ensure that the collection process</w:t>
      </w:r>
      <w:r w:rsidR="002774B1" w:rsidRPr="00CD4CEA">
        <w:rPr>
          <w:rFonts w:cstheme="minorHAnsi"/>
        </w:rPr>
        <w:t xml:space="preserve"> will not damage its evidentiary value in any future proceedings. </w:t>
      </w:r>
      <w:r w:rsidR="002F7DC4" w:rsidRPr="00CD4CEA">
        <w:rPr>
          <w:rFonts w:cstheme="minorHAnsi"/>
        </w:rPr>
        <w:t xml:space="preserve">This is particularly the case should you want to use this documentation in any court-related proceeding, but is also more broadly useful to verify and prove the authenticity of documentation. </w:t>
      </w:r>
    </w:p>
    <w:p w14:paraId="74B549F3" w14:textId="77777777" w:rsidR="002774B1" w:rsidRPr="00CD4CEA" w:rsidRDefault="002774B1" w:rsidP="002774B1">
      <w:pPr>
        <w:rPr>
          <w:rFonts w:cstheme="minorHAnsi"/>
        </w:rPr>
      </w:pPr>
    </w:p>
    <w:p w14:paraId="69E2D9E6" w14:textId="77777777" w:rsidR="002F7DC4" w:rsidRPr="00CD4CEA" w:rsidRDefault="002F7DC4" w:rsidP="002774B1">
      <w:pPr>
        <w:rPr>
          <w:rFonts w:cstheme="minorHAnsi"/>
          <w:u w:val="single"/>
        </w:rPr>
      </w:pPr>
    </w:p>
    <w:p w14:paraId="3ECE38AD" w14:textId="33AF9509" w:rsidR="002F7DC4" w:rsidRPr="00CD4CEA" w:rsidRDefault="00780D11" w:rsidP="002774B1">
      <w:pPr>
        <w:rPr>
          <w:rFonts w:cstheme="minorHAnsi"/>
          <w:u w:val="single"/>
        </w:rPr>
      </w:pPr>
      <w:r w:rsidRPr="00CD4CEA">
        <w:rPr>
          <w:rFonts w:cstheme="minorHAnsi"/>
          <w:b/>
        </w:rPr>
        <w:t>Store</w:t>
      </w:r>
      <w:r w:rsidR="00FC112D">
        <w:rPr>
          <w:rStyle w:val="FootnoteReference"/>
          <w:rFonts w:cstheme="minorHAnsi"/>
          <w:b/>
        </w:rPr>
        <w:footnoteReference w:id="67"/>
      </w:r>
    </w:p>
    <w:p w14:paraId="086122D0" w14:textId="2065B106" w:rsidR="00942928" w:rsidRPr="00CD4CEA" w:rsidRDefault="00942928" w:rsidP="002774B1">
      <w:pPr>
        <w:rPr>
          <w:rFonts w:cstheme="minorHAnsi"/>
        </w:rPr>
      </w:pPr>
      <w:r w:rsidRPr="00CD4CEA">
        <w:rPr>
          <w:rFonts w:cstheme="minorHAnsi"/>
        </w:rPr>
        <w:t xml:space="preserve">There are two parts to thinking about documentation storage: (1) where is it stored and (2) how does it get there? </w:t>
      </w:r>
      <w:r w:rsidR="00933420" w:rsidRPr="00CD4CEA">
        <w:rPr>
          <w:rFonts w:cstheme="minorHAnsi"/>
        </w:rPr>
        <w:t xml:space="preserve">In other words, we need to think through the security concerns of the collected documentation at rest </w:t>
      </w:r>
      <w:r w:rsidR="00933420" w:rsidRPr="00CD4CEA">
        <w:rPr>
          <w:rFonts w:cstheme="minorHAnsi"/>
          <w:i/>
        </w:rPr>
        <w:t>and</w:t>
      </w:r>
      <w:r w:rsidR="00933420" w:rsidRPr="00CD4CEA">
        <w:rPr>
          <w:rFonts w:cstheme="minorHAnsi"/>
        </w:rPr>
        <w:t xml:space="preserve"> in motion. </w:t>
      </w:r>
    </w:p>
    <w:p w14:paraId="11813080" w14:textId="77777777" w:rsidR="00942928" w:rsidRPr="00CD4CEA" w:rsidRDefault="00942928" w:rsidP="002774B1">
      <w:pPr>
        <w:rPr>
          <w:rFonts w:cstheme="minorHAnsi"/>
        </w:rPr>
      </w:pPr>
    </w:p>
    <w:p w14:paraId="242E550D" w14:textId="0634CE00" w:rsidR="00942928" w:rsidRPr="00CD4CEA" w:rsidRDefault="00942928" w:rsidP="002774B1">
      <w:pPr>
        <w:rPr>
          <w:rFonts w:cstheme="minorHAnsi"/>
        </w:rPr>
      </w:pPr>
      <w:r w:rsidRPr="00CD4CEA">
        <w:rPr>
          <w:rFonts w:cstheme="minorHAnsi"/>
        </w:rPr>
        <w:t xml:space="preserve">The documentation you have collected will be stored </w:t>
      </w:r>
      <w:r w:rsidRPr="00CD4CEA">
        <w:rPr>
          <w:rFonts w:cstheme="minorHAnsi"/>
          <w:i/>
        </w:rPr>
        <w:t>somewhere</w:t>
      </w:r>
      <w:r w:rsidRPr="00CD4CEA">
        <w:rPr>
          <w:rFonts w:cstheme="minorHAnsi"/>
        </w:rPr>
        <w:t>, whether it is as simple and straightforward as being stored in the photos app on your mobile phone or on a dedicated server.  How you choose to store your information will be determine both</w:t>
      </w:r>
      <w:r w:rsidR="000D6A5C" w:rsidRPr="00CD4CEA">
        <w:rPr>
          <w:rFonts w:cstheme="minorHAnsi"/>
        </w:rPr>
        <w:t xml:space="preserve"> by</w:t>
      </w:r>
      <w:r w:rsidRPr="00CD4CEA">
        <w:rPr>
          <w:rFonts w:cstheme="minorHAnsi"/>
        </w:rPr>
        <w:t xml:space="preserve"> how you ultimately want to use the information</w:t>
      </w:r>
      <w:r w:rsidR="000D6A5C" w:rsidRPr="00CD4CEA">
        <w:rPr>
          <w:rFonts w:cstheme="minorHAnsi"/>
        </w:rPr>
        <w:t>,</w:t>
      </w:r>
      <w:r w:rsidRPr="00CD4CEA">
        <w:rPr>
          <w:rFonts w:cstheme="minorHAnsi"/>
        </w:rPr>
        <w:t xml:space="preserve"> along with the specifics of your operating context. For example, people collecting data in active conflict zones may face scenarios where their phones are searched by authorities or perpetrators, putting the documentation and its creator (along with those in the </w:t>
      </w:r>
      <w:r w:rsidRPr="00CD4CEA">
        <w:rPr>
          <w:rFonts w:cstheme="minorHAnsi"/>
        </w:rPr>
        <w:lastRenderedPageBreak/>
        <w:t>documentation) at undue risk. In this instance, moving the data from t</w:t>
      </w:r>
      <w:r w:rsidR="00933420" w:rsidRPr="00CD4CEA">
        <w:rPr>
          <w:rFonts w:cstheme="minorHAnsi"/>
        </w:rPr>
        <w:t>he local phone or device to a more secure server in a different</w:t>
      </w:r>
      <w:r w:rsidRPr="00CD4CEA">
        <w:rPr>
          <w:rFonts w:cstheme="minorHAnsi"/>
        </w:rPr>
        <w:t xml:space="preserve"> location would increase the security of the person and of the information. </w:t>
      </w:r>
    </w:p>
    <w:p w14:paraId="20819031" w14:textId="77777777" w:rsidR="00D4743E" w:rsidRPr="00CD4CEA" w:rsidRDefault="00D4743E" w:rsidP="002774B1">
      <w:pPr>
        <w:rPr>
          <w:rFonts w:cstheme="minorHAnsi"/>
        </w:rPr>
      </w:pPr>
    </w:p>
    <w:p w14:paraId="258571AF" w14:textId="32CF8BE0" w:rsidR="00D4743E" w:rsidRPr="00CD4CEA" w:rsidRDefault="00BE3A93" w:rsidP="00D4743E">
      <w:pPr>
        <w:rPr>
          <w:rFonts w:cstheme="minorHAnsi"/>
          <w:i/>
        </w:rPr>
      </w:pPr>
      <w:r w:rsidRPr="00CD4CEA">
        <w:rPr>
          <w:rFonts w:cstheme="minorHAnsi"/>
        </w:rPr>
        <w:t xml:space="preserve">You will also need to consider costs, tech literacy, who needs access, and how frequently they need that access. Here are three possible storage setups, including backup possibilities: </w:t>
      </w:r>
    </w:p>
    <w:p w14:paraId="0B66FDCD" w14:textId="77777777" w:rsidR="00D4743E" w:rsidRPr="00F17564" w:rsidRDefault="00D4743E" w:rsidP="00D4743E">
      <w:pPr>
        <w:rPr>
          <w:rFonts w:cstheme="minorHAnsi"/>
        </w:rPr>
      </w:pPr>
    </w:p>
    <w:p w14:paraId="09234FEF" w14:textId="7CAD616A" w:rsidR="00B82BBB" w:rsidRPr="00CD4CEA" w:rsidRDefault="00B82BBB" w:rsidP="00BE3A93">
      <w:pPr>
        <w:pStyle w:val="ListParagraph"/>
        <w:numPr>
          <w:ilvl w:val="0"/>
          <w:numId w:val="22"/>
        </w:numPr>
        <w:rPr>
          <w:rFonts w:cstheme="minorHAnsi"/>
        </w:rPr>
      </w:pPr>
      <w:r w:rsidRPr="00CD4CEA">
        <w:rPr>
          <w:rFonts w:cstheme="minorHAnsi"/>
        </w:rPr>
        <w:t>Encrypted external hard d</w:t>
      </w:r>
      <w:r w:rsidR="00D4743E" w:rsidRPr="00CD4CEA">
        <w:rPr>
          <w:rFonts w:cstheme="minorHAnsi"/>
        </w:rPr>
        <w:t xml:space="preserve">rive(s) are a simple and cost-effective secure solution. </w:t>
      </w:r>
      <w:r w:rsidRPr="00CD4CEA">
        <w:rPr>
          <w:rFonts w:cstheme="minorHAnsi"/>
        </w:rPr>
        <w:t xml:space="preserve">The biggest limitation (which in some instances is also an advantage) </w:t>
      </w:r>
      <w:r w:rsidR="00BE3A93" w:rsidRPr="00CD4CEA">
        <w:rPr>
          <w:rFonts w:cstheme="minorHAnsi"/>
        </w:rPr>
        <w:t>is that this is a very local solution</w:t>
      </w:r>
      <w:r w:rsidRPr="00CD4CEA">
        <w:rPr>
          <w:rFonts w:cstheme="minorHAnsi"/>
        </w:rPr>
        <w:t>: you must</w:t>
      </w:r>
      <w:r w:rsidR="00BE3A93" w:rsidRPr="00CD4CEA">
        <w:rPr>
          <w:rFonts w:cstheme="minorHAnsi"/>
        </w:rPr>
        <w:t xml:space="preserve"> physically connect the hard drive to a computer to access it. </w:t>
      </w:r>
      <w:r w:rsidRPr="00CD4CEA">
        <w:rPr>
          <w:rFonts w:cstheme="minorHAnsi"/>
        </w:rPr>
        <w:t xml:space="preserve">Additionally, a hard drive has zero built-in redundancy, and it is possible for both the hard drive and the individual files to become corrupted over time. Given these constraints, </w:t>
      </w:r>
      <w:r w:rsidR="00BE3A93" w:rsidRPr="00CD4CEA">
        <w:rPr>
          <w:rFonts w:cstheme="minorHAnsi"/>
        </w:rPr>
        <w:t xml:space="preserve">this setup requires the most rigid backup workflow, </w:t>
      </w:r>
      <w:r w:rsidRPr="00CD4CEA">
        <w:rPr>
          <w:rFonts w:cstheme="minorHAnsi"/>
        </w:rPr>
        <w:t>using other encrypted hard drive(s). Ideally, you would want to keep the backup version in a separate location</w:t>
      </w:r>
      <w:r w:rsidR="003D5585" w:rsidRPr="00CD4CEA">
        <w:rPr>
          <w:rFonts w:cstheme="minorHAnsi"/>
        </w:rPr>
        <w:t xml:space="preserve"> in order to be prepared in case of worst-case scenarios, such as</w:t>
      </w:r>
      <w:r w:rsidRPr="00CD4CEA">
        <w:rPr>
          <w:rFonts w:cstheme="minorHAnsi"/>
        </w:rPr>
        <w:t xml:space="preserve"> physical confiscation or theft of the hard drives or catastrophe</w:t>
      </w:r>
      <w:r w:rsidR="003D5585" w:rsidRPr="00CD4CEA">
        <w:rPr>
          <w:rFonts w:cstheme="minorHAnsi"/>
        </w:rPr>
        <w:t>s</w:t>
      </w:r>
      <w:r w:rsidRPr="00CD4CEA">
        <w:rPr>
          <w:rFonts w:cstheme="minorHAnsi"/>
        </w:rPr>
        <w:t xml:space="preserve"> </w:t>
      </w:r>
      <w:r w:rsidR="003D5585" w:rsidRPr="00CD4CEA">
        <w:rPr>
          <w:rFonts w:cstheme="minorHAnsi"/>
        </w:rPr>
        <w:t xml:space="preserve">like </w:t>
      </w:r>
      <w:r w:rsidRPr="00CD4CEA">
        <w:rPr>
          <w:rFonts w:cstheme="minorHAnsi"/>
        </w:rPr>
        <w:t>fire</w:t>
      </w:r>
      <w:r w:rsidR="003D5585" w:rsidRPr="00CD4CEA">
        <w:rPr>
          <w:rFonts w:cstheme="minorHAnsi"/>
        </w:rPr>
        <w:t>s</w:t>
      </w:r>
      <w:r w:rsidRPr="00CD4CEA">
        <w:rPr>
          <w:rFonts w:cstheme="minorHAnsi"/>
        </w:rPr>
        <w:t xml:space="preserve"> or earthquake</w:t>
      </w:r>
      <w:r w:rsidR="003D5585" w:rsidRPr="00CD4CEA">
        <w:rPr>
          <w:rFonts w:cstheme="minorHAnsi"/>
        </w:rPr>
        <w:t>s</w:t>
      </w:r>
      <w:r w:rsidRPr="00CD4CEA">
        <w:rPr>
          <w:rFonts w:cstheme="minorHAnsi"/>
        </w:rPr>
        <w:t xml:space="preserve">. This solution is harder to implement as documentation efforts grow. </w:t>
      </w:r>
    </w:p>
    <w:p w14:paraId="2ABE289E" w14:textId="77777777" w:rsidR="00BE3A93" w:rsidRPr="00F17564" w:rsidRDefault="00BE3A93" w:rsidP="00BE3A93">
      <w:pPr>
        <w:rPr>
          <w:rFonts w:cstheme="minorHAnsi"/>
        </w:rPr>
      </w:pPr>
    </w:p>
    <w:p w14:paraId="5C28EFFE" w14:textId="227F154C" w:rsidR="00B82BBB" w:rsidRPr="00CD4CEA" w:rsidRDefault="00B82BBB" w:rsidP="00BE3A93">
      <w:pPr>
        <w:pStyle w:val="ListParagraph"/>
        <w:numPr>
          <w:ilvl w:val="0"/>
          <w:numId w:val="22"/>
        </w:numPr>
        <w:rPr>
          <w:rFonts w:cstheme="minorHAnsi"/>
          <w:i/>
        </w:rPr>
      </w:pPr>
      <w:r w:rsidRPr="00CD4CEA">
        <w:rPr>
          <w:rFonts w:cstheme="minorHAnsi"/>
        </w:rPr>
        <w:t xml:space="preserve">Network-attached storage (NAS), a local storage server, allows for collaboration among a few users. </w:t>
      </w:r>
      <w:r w:rsidR="00ED5D30" w:rsidRPr="00CD4CEA">
        <w:rPr>
          <w:rFonts w:cstheme="minorHAnsi"/>
        </w:rPr>
        <w:t>This type of server can allow remote connections or be programmed to only connect locally. It also enables encryption and automatically stores each piece of documentation on two individual hard drives. NAS servers are normally more expensive than simple hard drives and require more technical knowledge to set up and maintain. For an additional level of security, you could periodically back</w:t>
      </w:r>
      <w:r w:rsidR="007E11C7" w:rsidRPr="00CD4CEA">
        <w:rPr>
          <w:rFonts w:cstheme="minorHAnsi"/>
        </w:rPr>
        <w:t xml:space="preserve"> </w:t>
      </w:r>
      <w:r w:rsidR="00ED5D30" w:rsidRPr="00CD4CEA">
        <w:rPr>
          <w:rFonts w:cstheme="minorHAnsi"/>
        </w:rPr>
        <w:t xml:space="preserve">up the NAS data onto a large encrypted external hard drive and store that in a separate location. </w:t>
      </w:r>
    </w:p>
    <w:p w14:paraId="298BBEC3" w14:textId="77777777" w:rsidR="00BE3A93" w:rsidRPr="00F17564" w:rsidRDefault="00BE3A93" w:rsidP="00BE3A93">
      <w:pPr>
        <w:rPr>
          <w:rFonts w:cstheme="minorHAnsi"/>
        </w:rPr>
      </w:pPr>
    </w:p>
    <w:p w14:paraId="7122105C" w14:textId="77777777" w:rsidR="00BE3A93" w:rsidRPr="00CD4CEA" w:rsidRDefault="00ED5D30" w:rsidP="00BE3A93">
      <w:pPr>
        <w:pStyle w:val="ListParagraph"/>
        <w:numPr>
          <w:ilvl w:val="0"/>
          <w:numId w:val="22"/>
        </w:numPr>
        <w:rPr>
          <w:rFonts w:cstheme="minorHAnsi"/>
        </w:rPr>
      </w:pPr>
      <w:r w:rsidRPr="00CD4CEA">
        <w:rPr>
          <w:rFonts w:cstheme="minorHAnsi"/>
        </w:rPr>
        <w:t>Cloud storage allows your data to be accessible to internal and external users of your choosing, and outsources the need for deep technical knowledge on server setup and maintenance</w:t>
      </w:r>
      <w:r w:rsidR="00BE3A93" w:rsidRPr="00CD4CEA">
        <w:rPr>
          <w:rFonts w:cstheme="minorHAnsi"/>
        </w:rPr>
        <w:t xml:space="preserve">. When choosing a cloud service, </w:t>
      </w:r>
      <w:r w:rsidRPr="00CD4CEA">
        <w:rPr>
          <w:rFonts w:cstheme="minorHAnsi"/>
        </w:rPr>
        <w:t xml:space="preserve">factors such as </w:t>
      </w:r>
      <w:r w:rsidR="00BE3A93" w:rsidRPr="00CD4CEA">
        <w:rPr>
          <w:rFonts w:cstheme="minorHAnsi"/>
        </w:rPr>
        <w:t>p</w:t>
      </w:r>
      <w:r w:rsidRPr="00CD4CEA">
        <w:rPr>
          <w:rFonts w:cstheme="minorHAnsi"/>
        </w:rPr>
        <w:t>ricing, connectivity</w:t>
      </w:r>
      <w:r w:rsidR="00BE3A93" w:rsidRPr="00CD4CEA">
        <w:rPr>
          <w:rFonts w:cstheme="minorHAnsi"/>
        </w:rPr>
        <w:t xml:space="preserve"> to the specifi</w:t>
      </w:r>
      <w:r w:rsidRPr="00CD4CEA">
        <w:rPr>
          <w:rFonts w:cstheme="minorHAnsi"/>
        </w:rPr>
        <w:t>c location(s) where you are working</w:t>
      </w:r>
      <w:r w:rsidR="00BE3A93" w:rsidRPr="00CD4CEA">
        <w:rPr>
          <w:rFonts w:cstheme="minorHAnsi"/>
        </w:rPr>
        <w:t xml:space="preserve">, trust, </w:t>
      </w:r>
      <w:r w:rsidRPr="00CD4CEA">
        <w:rPr>
          <w:rFonts w:cstheme="minorHAnsi"/>
        </w:rPr>
        <w:t xml:space="preserve">and </w:t>
      </w:r>
      <w:r w:rsidR="00BE3A93" w:rsidRPr="00CD4CEA">
        <w:rPr>
          <w:rFonts w:cstheme="minorHAnsi"/>
        </w:rPr>
        <w:t>environment</w:t>
      </w:r>
      <w:r w:rsidRPr="00CD4CEA">
        <w:rPr>
          <w:rFonts w:cstheme="minorHAnsi"/>
        </w:rPr>
        <w:t>al impact to consider</w:t>
      </w:r>
      <w:r w:rsidR="00E23A26" w:rsidRPr="00CD4CEA">
        <w:rPr>
          <w:rFonts w:cstheme="minorHAnsi"/>
        </w:rPr>
        <w:t>. C</w:t>
      </w:r>
      <w:r w:rsidR="00BE3A93" w:rsidRPr="00CD4CEA">
        <w:rPr>
          <w:rFonts w:cstheme="minorHAnsi"/>
        </w:rPr>
        <w:t>loud storage save</w:t>
      </w:r>
      <w:r w:rsidR="00E23A26" w:rsidRPr="00CD4CEA">
        <w:rPr>
          <w:rFonts w:cstheme="minorHAnsi"/>
        </w:rPr>
        <w:t>s the worry about on</w:t>
      </w:r>
      <w:r w:rsidR="00BE3A93" w:rsidRPr="00CD4CEA">
        <w:rPr>
          <w:rFonts w:cstheme="minorHAnsi"/>
        </w:rPr>
        <w:t>going redundancy, as it is done au</w:t>
      </w:r>
      <w:r w:rsidR="00E23A26" w:rsidRPr="00CD4CEA">
        <w:rPr>
          <w:rFonts w:cstheme="minorHAnsi"/>
        </w:rPr>
        <w:t>tomatically by the provider</w:t>
      </w:r>
      <w:r w:rsidR="00BE3A93" w:rsidRPr="00CD4CEA">
        <w:rPr>
          <w:rFonts w:cstheme="minorHAnsi"/>
        </w:rPr>
        <w:t xml:space="preserve">. </w:t>
      </w:r>
    </w:p>
    <w:p w14:paraId="42DA8B3D" w14:textId="40ED82A5" w:rsidR="00D4743E" w:rsidRDefault="00D4743E" w:rsidP="002774B1">
      <w:pPr>
        <w:rPr>
          <w:rFonts w:cstheme="minorHAnsi"/>
        </w:rPr>
      </w:pPr>
    </w:p>
    <w:p w14:paraId="551C79B4" w14:textId="77777777" w:rsidR="00933420" w:rsidRPr="00CD4CEA" w:rsidRDefault="00E23A26" w:rsidP="002774B1">
      <w:pPr>
        <w:rPr>
          <w:rFonts w:cstheme="minorHAnsi"/>
        </w:rPr>
      </w:pPr>
      <w:r w:rsidRPr="00CD4CEA">
        <w:rPr>
          <w:rFonts w:cstheme="minorHAnsi"/>
          <w:b/>
          <w:i/>
        </w:rPr>
        <w:t xml:space="preserve">Transferring Documentation Data. </w:t>
      </w:r>
      <w:r w:rsidR="00933420" w:rsidRPr="00CD4CEA">
        <w:rPr>
          <w:rFonts w:cstheme="minorHAnsi"/>
        </w:rPr>
        <w:t xml:space="preserve">Similar considerations need to be factored into </w:t>
      </w:r>
      <w:r w:rsidR="00933420" w:rsidRPr="00CD4CEA">
        <w:rPr>
          <w:rFonts w:cstheme="minorHAnsi"/>
          <w:i/>
        </w:rPr>
        <w:t xml:space="preserve">how </w:t>
      </w:r>
      <w:r w:rsidR="00933420" w:rsidRPr="00CD4CEA">
        <w:rPr>
          <w:rFonts w:cstheme="minorHAnsi"/>
        </w:rPr>
        <w:t>the collected documentation is transferred</w:t>
      </w:r>
      <w:r w:rsidR="00D4743E" w:rsidRPr="00CD4CEA">
        <w:rPr>
          <w:rFonts w:cstheme="minorHAnsi"/>
        </w:rPr>
        <w:t xml:space="preserve"> into storage. </w:t>
      </w:r>
      <w:r w:rsidR="00933420" w:rsidRPr="00CD4CEA">
        <w:rPr>
          <w:rFonts w:cstheme="minorHAnsi"/>
        </w:rPr>
        <w:t xml:space="preserve">At minimum, the data should be transmitted through secure connections or through tools offering end-to-end encryption if security risks are higher. </w:t>
      </w:r>
      <w:r w:rsidR="00D4743E" w:rsidRPr="00CD4CEA">
        <w:rPr>
          <w:rFonts w:cstheme="minorHAnsi"/>
        </w:rPr>
        <w:t>At this point, you also need to consid</w:t>
      </w:r>
      <w:r w:rsidR="00BE3A93" w:rsidRPr="00CD4CEA">
        <w:rPr>
          <w:rFonts w:cstheme="minorHAnsi"/>
        </w:rPr>
        <w:t>e</w:t>
      </w:r>
      <w:r w:rsidR="008022D1" w:rsidRPr="00CD4CEA">
        <w:rPr>
          <w:rFonts w:cstheme="minorHAnsi"/>
        </w:rPr>
        <w:t xml:space="preserve">r whether you need to transfer any type of metadata along with the documentation itself. </w:t>
      </w:r>
    </w:p>
    <w:p w14:paraId="4075C05D" w14:textId="77777777" w:rsidR="00D4743E" w:rsidRPr="00CD4CEA" w:rsidRDefault="00D4743E" w:rsidP="002774B1">
      <w:pPr>
        <w:rPr>
          <w:rFonts w:cstheme="minorHAnsi"/>
        </w:rPr>
      </w:pPr>
    </w:p>
    <w:p w14:paraId="00617EB0" w14:textId="41B7E104" w:rsidR="008022D1" w:rsidRPr="00CD4CEA" w:rsidRDefault="00D4743E" w:rsidP="002774B1">
      <w:pPr>
        <w:rPr>
          <w:rFonts w:cstheme="minorHAnsi"/>
        </w:rPr>
      </w:pPr>
      <w:r w:rsidRPr="00CD4CEA">
        <w:rPr>
          <w:rFonts w:cstheme="minorHAnsi"/>
        </w:rPr>
        <w:t xml:space="preserve">When </w:t>
      </w:r>
      <w:r w:rsidR="002774B1" w:rsidRPr="00CD4CEA">
        <w:rPr>
          <w:rFonts w:cstheme="minorHAnsi"/>
        </w:rPr>
        <w:t xml:space="preserve">digital media is being </w:t>
      </w:r>
      <w:r w:rsidR="002774B1" w:rsidRPr="006674D2">
        <w:rPr>
          <w:rFonts w:cstheme="minorHAnsi"/>
        </w:rPr>
        <w:t>created metadata</w:t>
      </w:r>
      <w:r w:rsidRPr="006674D2">
        <w:rPr>
          <w:rFonts w:cstheme="minorHAnsi"/>
        </w:rPr>
        <w:t xml:space="preserve"> </w:t>
      </w:r>
      <w:r w:rsidR="007E11C7" w:rsidRPr="006674D2">
        <w:rPr>
          <w:rFonts w:cstheme="minorHAnsi"/>
        </w:rPr>
        <w:t>–</w:t>
      </w:r>
      <w:r w:rsidRPr="006674D2">
        <w:rPr>
          <w:rFonts w:cstheme="minorHAnsi"/>
        </w:rPr>
        <w:t xml:space="preserve"> </w:t>
      </w:r>
      <w:r w:rsidR="002774B1" w:rsidRPr="006674D2">
        <w:rPr>
          <w:rFonts w:cstheme="minorHAnsi"/>
        </w:rPr>
        <w:t>such</w:t>
      </w:r>
      <w:r w:rsidR="002774B1" w:rsidRPr="00CD4CEA">
        <w:rPr>
          <w:rFonts w:cstheme="minorHAnsi"/>
        </w:rPr>
        <w:t xml:space="preserve"> as time and date, information about the recording device</w:t>
      </w:r>
      <w:r w:rsidRPr="00CD4CEA">
        <w:rPr>
          <w:rFonts w:cstheme="minorHAnsi"/>
        </w:rPr>
        <w:t>, and even</w:t>
      </w:r>
      <w:r w:rsidR="002774B1" w:rsidRPr="00CD4CEA">
        <w:rPr>
          <w:rFonts w:cstheme="minorHAnsi"/>
        </w:rPr>
        <w:t xml:space="preserve"> GPS coordinates</w:t>
      </w:r>
      <w:r w:rsidRPr="00CD4CEA">
        <w:rPr>
          <w:rFonts w:cstheme="minorHAnsi"/>
        </w:rPr>
        <w:t xml:space="preserve"> </w:t>
      </w:r>
      <w:r w:rsidRPr="003F449B">
        <w:rPr>
          <w:rFonts w:cstheme="minorHAnsi"/>
        </w:rPr>
        <w:t>–</w:t>
      </w:r>
      <w:r w:rsidRPr="00CD4CEA">
        <w:rPr>
          <w:rFonts w:cstheme="minorHAnsi"/>
        </w:rPr>
        <w:t xml:space="preserve"> can be</w:t>
      </w:r>
      <w:r w:rsidR="002774B1" w:rsidRPr="00CD4CEA">
        <w:rPr>
          <w:rFonts w:cstheme="minorHAnsi"/>
        </w:rPr>
        <w:t xml:space="preserve"> embedded </w:t>
      </w:r>
      <w:r w:rsidRPr="00CD4CEA">
        <w:rPr>
          <w:rFonts w:cstheme="minorHAnsi"/>
        </w:rPr>
        <w:t>in</w:t>
      </w:r>
      <w:r w:rsidR="002774B1" w:rsidRPr="00CD4CEA">
        <w:rPr>
          <w:rFonts w:cstheme="minorHAnsi"/>
        </w:rPr>
        <w:t xml:space="preserve">to the files. </w:t>
      </w:r>
      <w:r w:rsidR="00BC22D6" w:rsidRPr="00CD4CEA">
        <w:rPr>
          <w:rFonts w:cstheme="minorHAnsi"/>
        </w:rPr>
        <w:t>Files found online</w:t>
      </w:r>
      <w:r w:rsidR="002774B1" w:rsidRPr="00CD4CEA">
        <w:rPr>
          <w:rFonts w:cstheme="minorHAnsi"/>
        </w:rPr>
        <w:t xml:space="preserve"> may</w:t>
      </w:r>
      <w:r w:rsidR="007E11C7" w:rsidRPr="00CD4CEA">
        <w:rPr>
          <w:rFonts w:cstheme="minorHAnsi"/>
        </w:rPr>
        <w:t xml:space="preserve"> also</w:t>
      </w:r>
      <w:r w:rsidR="002774B1" w:rsidRPr="00CD4CEA">
        <w:rPr>
          <w:rFonts w:cstheme="minorHAnsi"/>
        </w:rPr>
        <w:t xml:space="preserve"> have similar metadata embedded</w:t>
      </w:r>
      <w:r w:rsidRPr="00CD4CEA">
        <w:rPr>
          <w:rFonts w:cstheme="minorHAnsi"/>
        </w:rPr>
        <w:t xml:space="preserve"> </w:t>
      </w:r>
      <w:r w:rsidR="00263163">
        <w:rPr>
          <w:rFonts w:cstheme="minorHAnsi"/>
        </w:rPr>
        <w:t>in</w:t>
      </w:r>
      <w:r w:rsidRPr="00CD4CEA">
        <w:rPr>
          <w:rFonts w:cstheme="minorHAnsi"/>
        </w:rPr>
        <w:t xml:space="preserve">to </w:t>
      </w:r>
      <w:r w:rsidR="007E11C7" w:rsidRPr="00CD4CEA">
        <w:rPr>
          <w:rFonts w:cstheme="minorHAnsi"/>
        </w:rPr>
        <w:t>them</w:t>
      </w:r>
      <w:r w:rsidRPr="00CD4CEA">
        <w:rPr>
          <w:rFonts w:cstheme="minorHAnsi"/>
        </w:rPr>
        <w:t>. This metadata can be crucial</w:t>
      </w:r>
      <w:r w:rsidR="002774B1" w:rsidRPr="00CD4CEA">
        <w:rPr>
          <w:rFonts w:cstheme="minorHAnsi"/>
        </w:rPr>
        <w:t xml:space="preserve"> in verifying your information</w:t>
      </w:r>
      <w:r w:rsidRPr="00CD4CEA">
        <w:rPr>
          <w:rFonts w:cstheme="minorHAnsi"/>
        </w:rPr>
        <w:t xml:space="preserve"> (see more below) and in enhancing its usefulness in the future</w:t>
      </w:r>
      <w:r w:rsidR="008022D1" w:rsidRPr="00CD4CEA">
        <w:rPr>
          <w:rFonts w:cstheme="minorHAnsi"/>
        </w:rPr>
        <w:t>, particularly in courtroom proceedings</w:t>
      </w:r>
      <w:r w:rsidRPr="00CD4CEA">
        <w:rPr>
          <w:rFonts w:cstheme="minorHAnsi"/>
        </w:rPr>
        <w:t xml:space="preserve">. </w:t>
      </w:r>
      <w:r w:rsidR="008022D1" w:rsidRPr="00CD4CEA">
        <w:rPr>
          <w:rFonts w:cstheme="minorHAnsi"/>
        </w:rPr>
        <w:t xml:space="preserve">On the other hand, risks may be so high that you would opt to gather documentation only without its embedded metadata. Some methods of transferring files do not preserve this metadata, so it is imperative to choose a method that aligns with whether you want to transfer metadata or not.  </w:t>
      </w:r>
    </w:p>
    <w:p w14:paraId="3745E3AE" w14:textId="77777777" w:rsidR="00D4743E" w:rsidRPr="00CD4CEA" w:rsidRDefault="00D4743E" w:rsidP="002774B1">
      <w:pPr>
        <w:rPr>
          <w:rFonts w:cstheme="minorHAnsi"/>
        </w:rPr>
      </w:pPr>
    </w:p>
    <w:p w14:paraId="0F3C5777" w14:textId="77777777" w:rsidR="002774B1" w:rsidRPr="00CD4CEA" w:rsidRDefault="008022D1" w:rsidP="002774B1">
      <w:pPr>
        <w:rPr>
          <w:rFonts w:cstheme="minorHAnsi"/>
        </w:rPr>
      </w:pPr>
      <w:r w:rsidRPr="00CD4CEA">
        <w:rPr>
          <w:rFonts w:cstheme="minorHAnsi"/>
        </w:rPr>
        <w:t>\\\\\\\\\\\\\\\\\\\\\\\\\\\\\\\\\\\\\\\\\\\\\BOX\\\\\\\\\\\\\\\\\\\\\\\\\\\\\\\\\\\\\\\\\\\\\\\\\</w:t>
      </w:r>
    </w:p>
    <w:p w14:paraId="18F43C83" w14:textId="75DF8C78" w:rsidR="008022D1" w:rsidRPr="00CD4CEA" w:rsidRDefault="003D5E2D" w:rsidP="002774B1">
      <w:pPr>
        <w:rPr>
          <w:rFonts w:cstheme="minorHAnsi"/>
          <w:b/>
        </w:rPr>
      </w:pPr>
      <w:r w:rsidRPr="00CD4CEA">
        <w:rPr>
          <w:rFonts w:cstheme="minorHAnsi"/>
          <w:b/>
        </w:rPr>
        <w:t>[</w:t>
      </w:r>
      <w:r w:rsidR="008022D1" w:rsidRPr="00CD4CEA">
        <w:rPr>
          <w:rFonts w:cstheme="minorHAnsi"/>
          <w:b/>
        </w:rPr>
        <w:t>A NOTE ON FILE NAMING:</w:t>
      </w:r>
      <w:r w:rsidRPr="00CD4CEA">
        <w:rPr>
          <w:rFonts w:cstheme="minorHAnsi"/>
          <w:b/>
        </w:rPr>
        <w:t>]</w:t>
      </w:r>
    </w:p>
    <w:p w14:paraId="6CC21D9E" w14:textId="05E196E1" w:rsidR="008022D1" w:rsidRPr="00CD4CEA" w:rsidRDefault="008022D1" w:rsidP="002774B1">
      <w:pPr>
        <w:rPr>
          <w:rFonts w:cstheme="minorHAnsi"/>
        </w:rPr>
      </w:pPr>
      <w:r w:rsidRPr="00CD4CEA">
        <w:rPr>
          <w:rFonts w:cstheme="minorHAnsi"/>
        </w:rPr>
        <w:lastRenderedPageBreak/>
        <w:t xml:space="preserve">It may be </w:t>
      </w:r>
      <w:r w:rsidR="00765035" w:rsidRPr="00CD4CEA">
        <w:rPr>
          <w:rFonts w:cstheme="minorHAnsi"/>
        </w:rPr>
        <w:t xml:space="preserve">tempting at this point to change the name of the file </w:t>
      </w:r>
      <w:r w:rsidR="005B0822" w:rsidRPr="00CD4CEA">
        <w:rPr>
          <w:rFonts w:cstheme="minorHAnsi"/>
        </w:rPr>
        <w:t>a</w:t>
      </w:r>
      <w:r w:rsidR="005B0822">
        <w:rPr>
          <w:rFonts w:cstheme="minorHAnsi"/>
        </w:rPr>
        <w:t>s</w:t>
      </w:r>
      <w:r w:rsidR="005B0822" w:rsidRPr="00CD4CEA">
        <w:rPr>
          <w:rFonts w:cstheme="minorHAnsi"/>
        </w:rPr>
        <w:t xml:space="preserve"> </w:t>
      </w:r>
      <w:r w:rsidR="00765035" w:rsidRPr="00CD4CEA">
        <w:rPr>
          <w:rFonts w:cstheme="minorHAnsi"/>
        </w:rPr>
        <w:t xml:space="preserve">it is transferred into your storage system. Your overriding aim here should be to never delete any part of the file name, but only to add to it. The original file name of the piece of documentation is a verifying feature of that documentation, and changing it could hamper others ability to authenticate your documentation. </w:t>
      </w:r>
    </w:p>
    <w:p w14:paraId="6DF720CB" w14:textId="77777777" w:rsidR="002774B1" w:rsidRPr="00CD4CEA" w:rsidRDefault="00765035" w:rsidP="002774B1">
      <w:pPr>
        <w:rPr>
          <w:rFonts w:cstheme="minorHAnsi"/>
        </w:rPr>
      </w:pPr>
      <w:r w:rsidRPr="00CD4CEA">
        <w:rPr>
          <w:rFonts w:cstheme="minorHAnsi"/>
        </w:rPr>
        <w:t>\\\\\\\\\\\\\\\\\\\\\\\\\\\\\\\\\\\\\\\\\\\\\\\\\\\\\\\\\\\\\\\\\\\\\\\\\\\\\\\\\\\\\\\\\\\\\\\\\\\</w:t>
      </w:r>
    </w:p>
    <w:p w14:paraId="3CB20940" w14:textId="77777777" w:rsidR="00765035" w:rsidRPr="00CD4CEA" w:rsidRDefault="00765035" w:rsidP="002774B1">
      <w:pPr>
        <w:rPr>
          <w:rFonts w:cstheme="minorHAnsi"/>
          <w:u w:val="single"/>
        </w:rPr>
      </w:pPr>
    </w:p>
    <w:p w14:paraId="1519BFAF" w14:textId="4D593A73" w:rsidR="002774B1" w:rsidRPr="00CD4CEA" w:rsidRDefault="001D2976" w:rsidP="002774B1">
      <w:pPr>
        <w:rPr>
          <w:rFonts w:cstheme="minorHAnsi"/>
        </w:rPr>
      </w:pPr>
      <w:r w:rsidRPr="00CD4CEA">
        <w:rPr>
          <w:rFonts w:cstheme="minorHAnsi"/>
        </w:rPr>
        <w:t xml:space="preserve">Should you be storing multiple pieces of documentation, thinking about how to manage and </w:t>
      </w:r>
      <w:proofErr w:type="spellStart"/>
      <w:r w:rsidRPr="003F449B">
        <w:rPr>
          <w:rFonts w:cstheme="minorHAnsi"/>
        </w:rPr>
        <w:t>catalog</w:t>
      </w:r>
      <w:proofErr w:type="spellEnd"/>
      <w:r w:rsidRPr="00CD4CEA">
        <w:rPr>
          <w:rFonts w:cstheme="minorHAnsi"/>
        </w:rPr>
        <w:t xml:space="preserve"> that information becomes key, particularly if multiple people are working on the effort. A </w:t>
      </w:r>
      <w:proofErr w:type="spellStart"/>
      <w:r w:rsidRPr="003F449B">
        <w:rPr>
          <w:rFonts w:cstheme="minorHAnsi"/>
        </w:rPr>
        <w:t>c</w:t>
      </w:r>
      <w:r w:rsidR="002774B1" w:rsidRPr="003F449B">
        <w:rPr>
          <w:rFonts w:cstheme="minorHAnsi"/>
        </w:rPr>
        <w:t>atalogin</w:t>
      </w:r>
      <w:r w:rsidRPr="003F449B">
        <w:rPr>
          <w:rFonts w:cstheme="minorHAnsi"/>
        </w:rPr>
        <w:t>g</w:t>
      </w:r>
      <w:proofErr w:type="spellEnd"/>
      <w:r w:rsidRPr="00CD4CEA">
        <w:rPr>
          <w:rFonts w:cstheme="minorHAnsi"/>
        </w:rPr>
        <w:t xml:space="preserve"> is </w:t>
      </w:r>
      <w:r w:rsidR="002774B1" w:rsidRPr="00CD4CEA">
        <w:rPr>
          <w:rFonts w:cstheme="minorHAnsi"/>
        </w:rPr>
        <w:t>an inventory list of</w:t>
      </w:r>
      <w:r w:rsidRPr="00CD4CEA">
        <w:rPr>
          <w:rFonts w:cstheme="minorHAnsi"/>
        </w:rPr>
        <w:t xml:space="preserve"> each piece of</w:t>
      </w:r>
      <w:r w:rsidR="002774B1" w:rsidRPr="00CD4CEA">
        <w:rPr>
          <w:rFonts w:cstheme="minorHAnsi"/>
        </w:rPr>
        <w:t xml:space="preserve"> documentation you have</w:t>
      </w:r>
      <w:r w:rsidRPr="00CD4CEA">
        <w:rPr>
          <w:rFonts w:cstheme="minorHAnsi"/>
        </w:rPr>
        <w:t xml:space="preserve"> collected</w:t>
      </w:r>
      <w:r w:rsidR="002774B1" w:rsidRPr="00CD4CEA">
        <w:rPr>
          <w:rFonts w:cstheme="minorHAnsi"/>
        </w:rPr>
        <w:t xml:space="preserve"> </w:t>
      </w:r>
      <w:r w:rsidRPr="00CD4CEA">
        <w:rPr>
          <w:rFonts w:cstheme="minorHAnsi"/>
        </w:rPr>
        <w:t>and what it is about. It can be a simple spreadsheet</w:t>
      </w:r>
      <w:r w:rsidR="002774B1" w:rsidRPr="00CD4CEA">
        <w:rPr>
          <w:rFonts w:cstheme="minorHAnsi"/>
        </w:rPr>
        <w:t xml:space="preserve"> or</w:t>
      </w:r>
      <w:r w:rsidRPr="00CD4CEA">
        <w:rPr>
          <w:rFonts w:cstheme="minorHAnsi"/>
        </w:rPr>
        <w:t xml:space="preserve"> a</w:t>
      </w:r>
      <w:r w:rsidR="002774B1" w:rsidRPr="00CD4CEA">
        <w:rPr>
          <w:rFonts w:cstheme="minorHAnsi"/>
        </w:rPr>
        <w:t xml:space="preserve"> more sophisticat</w:t>
      </w:r>
      <w:r w:rsidRPr="00CD4CEA">
        <w:rPr>
          <w:rFonts w:cstheme="minorHAnsi"/>
        </w:rPr>
        <w:t xml:space="preserve">ed, dedicated software solution depending on need. </w:t>
      </w:r>
      <w:r w:rsidR="002774B1" w:rsidRPr="00CD4CEA">
        <w:rPr>
          <w:rFonts w:cstheme="minorHAnsi"/>
        </w:rPr>
        <w:t xml:space="preserve">Generally speaking, </w:t>
      </w:r>
      <w:r w:rsidRPr="00CD4CEA">
        <w:rPr>
          <w:rFonts w:cstheme="minorHAnsi"/>
        </w:rPr>
        <w:t xml:space="preserve">a </w:t>
      </w:r>
      <w:proofErr w:type="spellStart"/>
      <w:r w:rsidRPr="003F449B">
        <w:rPr>
          <w:rFonts w:cstheme="minorHAnsi"/>
        </w:rPr>
        <w:t>catalog</w:t>
      </w:r>
      <w:proofErr w:type="spellEnd"/>
      <w:r w:rsidRPr="00CD4CEA">
        <w:rPr>
          <w:rFonts w:cstheme="minorHAnsi"/>
        </w:rPr>
        <w:t xml:space="preserve"> should have</w:t>
      </w:r>
      <w:r w:rsidR="002774B1" w:rsidRPr="00CD4CEA">
        <w:rPr>
          <w:rFonts w:cstheme="minorHAnsi"/>
        </w:rPr>
        <w:t xml:space="preserve"> properties to cover the basic </w:t>
      </w:r>
      <w:r w:rsidR="005B0822">
        <w:rPr>
          <w:rFonts w:cstheme="minorHAnsi"/>
        </w:rPr>
        <w:t>“</w:t>
      </w:r>
      <w:proofErr w:type="spellStart"/>
      <w:r w:rsidR="002774B1" w:rsidRPr="00CD4CEA">
        <w:rPr>
          <w:rFonts w:cstheme="minorHAnsi"/>
        </w:rPr>
        <w:t>Wh</w:t>
      </w:r>
      <w:proofErr w:type="spellEnd"/>
      <w:r w:rsidR="005B0822">
        <w:rPr>
          <w:rFonts w:cstheme="minorHAnsi"/>
        </w:rPr>
        <w:t>”</w:t>
      </w:r>
      <w:r w:rsidR="002774B1" w:rsidRPr="00CD4CEA">
        <w:rPr>
          <w:rFonts w:cstheme="minorHAnsi"/>
        </w:rPr>
        <w:t xml:space="preserve"> questions </w:t>
      </w:r>
      <w:r w:rsidR="00BC22D6" w:rsidRPr="00CD4CEA">
        <w:rPr>
          <w:rFonts w:cstheme="minorHAnsi"/>
        </w:rPr>
        <w:t>(</w:t>
      </w:r>
      <w:r w:rsidR="002774B1" w:rsidRPr="00CD4CEA">
        <w:rPr>
          <w:rFonts w:cstheme="minorHAnsi"/>
        </w:rPr>
        <w:t>Who documented</w:t>
      </w:r>
      <w:r w:rsidR="00CC048D">
        <w:rPr>
          <w:rFonts w:cstheme="minorHAnsi"/>
        </w:rPr>
        <w:t>/</w:t>
      </w:r>
      <w:r w:rsidR="002774B1" w:rsidRPr="00CD4CEA">
        <w:rPr>
          <w:rFonts w:cstheme="minorHAnsi"/>
        </w:rPr>
        <w:t>is documented, Where, When, and What</w:t>
      </w:r>
      <w:r w:rsidR="00BC22D6" w:rsidRPr="00CD4CEA">
        <w:rPr>
          <w:rFonts w:cstheme="minorHAnsi"/>
        </w:rPr>
        <w:t>)</w:t>
      </w:r>
      <w:r w:rsidR="002774B1" w:rsidRPr="00CD4CEA">
        <w:rPr>
          <w:rFonts w:cstheme="minorHAnsi"/>
        </w:rPr>
        <w:t>. On top of that, different workflow process can be em</w:t>
      </w:r>
      <w:r w:rsidRPr="00CD4CEA">
        <w:rPr>
          <w:rFonts w:cstheme="minorHAnsi"/>
        </w:rPr>
        <w:t xml:space="preserve">bedded </w:t>
      </w:r>
      <w:r w:rsidR="004D0D10">
        <w:rPr>
          <w:rFonts w:cstheme="minorHAnsi"/>
        </w:rPr>
        <w:t>in</w:t>
      </w:r>
      <w:r w:rsidRPr="00CD4CEA">
        <w:rPr>
          <w:rFonts w:cstheme="minorHAnsi"/>
        </w:rPr>
        <w:t>to</w:t>
      </w:r>
      <w:r w:rsidR="004D0D10">
        <w:rPr>
          <w:rFonts w:cstheme="minorHAnsi"/>
        </w:rPr>
        <w:t xml:space="preserve"> a</w:t>
      </w:r>
      <w:r w:rsidRPr="00CD4CEA">
        <w:rPr>
          <w:rFonts w:cstheme="minorHAnsi"/>
        </w:rPr>
        <w:t xml:space="preserve"> </w:t>
      </w:r>
      <w:proofErr w:type="spellStart"/>
      <w:r w:rsidRPr="003F449B">
        <w:rPr>
          <w:rFonts w:cstheme="minorHAnsi"/>
        </w:rPr>
        <w:t>catalog</w:t>
      </w:r>
      <w:proofErr w:type="spellEnd"/>
      <w:r w:rsidRPr="00CD4CEA">
        <w:rPr>
          <w:rFonts w:cstheme="minorHAnsi"/>
        </w:rPr>
        <w:t>, including</w:t>
      </w:r>
      <w:r w:rsidR="002774B1" w:rsidRPr="00CD4CEA">
        <w:rPr>
          <w:rFonts w:cstheme="minorHAnsi"/>
        </w:rPr>
        <w:t xml:space="preserve"> technical information of the documenta</w:t>
      </w:r>
      <w:r w:rsidRPr="00CD4CEA">
        <w:rPr>
          <w:rFonts w:cstheme="minorHAnsi"/>
        </w:rPr>
        <w:t>tion files (including path),</w:t>
      </w:r>
      <w:r w:rsidR="002774B1" w:rsidRPr="00CD4CEA">
        <w:rPr>
          <w:rFonts w:cstheme="minorHAnsi"/>
        </w:rPr>
        <w:t xml:space="preserve"> verification steps (see more below), </w:t>
      </w:r>
      <w:r w:rsidRPr="00CD4CEA">
        <w:rPr>
          <w:rFonts w:cstheme="minorHAnsi"/>
        </w:rPr>
        <w:t>as well as</w:t>
      </w:r>
      <w:r w:rsidR="002774B1" w:rsidRPr="00CD4CEA">
        <w:rPr>
          <w:rFonts w:cstheme="minorHAnsi"/>
        </w:rPr>
        <w:t xml:space="preserve"> </w:t>
      </w:r>
      <w:r w:rsidRPr="00CD4CEA">
        <w:rPr>
          <w:rFonts w:cstheme="minorHAnsi"/>
        </w:rPr>
        <w:t xml:space="preserve">how the documentation has been used. </w:t>
      </w:r>
    </w:p>
    <w:p w14:paraId="17DB517A" w14:textId="77777777" w:rsidR="002774B1" w:rsidRPr="00CD4CEA" w:rsidRDefault="002774B1" w:rsidP="002774B1">
      <w:pPr>
        <w:rPr>
          <w:rFonts w:cstheme="minorHAnsi"/>
          <w:u w:val="single"/>
        </w:rPr>
      </w:pPr>
    </w:p>
    <w:p w14:paraId="53D171F0" w14:textId="77777777" w:rsidR="00E23A26" w:rsidRPr="00CD4CEA" w:rsidRDefault="00E23A26" w:rsidP="002774B1">
      <w:pPr>
        <w:rPr>
          <w:rFonts w:cstheme="minorHAnsi"/>
          <w:u w:val="single"/>
        </w:rPr>
      </w:pPr>
    </w:p>
    <w:p w14:paraId="250CDC01" w14:textId="66F959F2" w:rsidR="0082496F" w:rsidRPr="00CD4CEA" w:rsidRDefault="00780D11" w:rsidP="002774B1">
      <w:pPr>
        <w:rPr>
          <w:rFonts w:cstheme="minorHAnsi"/>
          <w:b/>
        </w:rPr>
      </w:pPr>
      <w:r w:rsidRPr="00CD4CEA">
        <w:rPr>
          <w:rFonts w:cstheme="minorHAnsi"/>
          <w:b/>
        </w:rPr>
        <w:t>Verify</w:t>
      </w:r>
    </w:p>
    <w:p w14:paraId="7960E7B4" w14:textId="31B50932" w:rsidR="00FD0A78" w:rsidRPr="00CD4CEA" w:rsidRDefault="00FD0A78" w:rsidP="002774B1">
      <w:pPr>
        <w:rPr>
          <w:rFonts w:cstheme="minorHAnsi"/>
        </w:rPr>
      </w:pPr>
      <w:r w:rsidRPr="00CD4CEA">
        <w:rPr>
          <w:rFonts w:cstheme="minorHAnsi"/>
        </w:rPr>
        <w:t xml:space="preserve">Verification is the process </w:t>
      </w:r>
      <w:r w:rsidR="005B0822">
        <w:rPr>
          <w:rFonts w:cstheme="minorHAnsi"/>
        </w:rPr>
        <w:t>that</w:t>
      </w:r>
      <w:r w:rsidR="005B0822" w:rsidRPr="00CD4CEA">
        <w:rPr>
          <w:rFonts w:cstheme="minorHAnsi"/>
        </w:rPr>
        <w:t xml:space="preserve"> </w:t>
      </w:r>
      <w:r w:rsidRPr="00CD4CEA">
        <w:rPr>
          <w:rFonts w:cstheme="minorHAnsi"/>
        </w:rPr>
        <w:t xml:space="preserve">is undertaken to </w:t>
      </w:r>
      <w:r w:rsidR="00041158">
        <w:rPr>
          <w:rFonts w:cstheme="minorHAnsi"/>
        </w:rPr>
        <w:t>determine “the reliability, credibility, or trustworthiness of the content or information contained in the…document, video, or image</w:t>
      </w:r>
      <w:r w:rsidRPr="00CD4CEA">
        <w:rPr>
          <w:rFonts w:cstheme="minorHAnsi"/>
        </w:rPr>
        <w:t>.</w:t>
      </w:r>
      <w:r w:rsidR="00041158">
        <w:rPr>
          <w:rFonts w:cstheme="minorHAnsi"/>
        </w:rPr>
        <w:t>”</w:t>
      </w:r>
      <w:r w:rsidR="00041158">
        <w:rPr>
          <w:rStyle w:val="FootnoteReference"/>
          <w:rFonts w:cstheme="minorHAnsi"/>
        </w:rPr>
        <w:footnoteReference w:id="68"/>
      </w:r>
      <w:r w:rsidRPr="00CD4CEA">
        <w:rPr>
          <w:rFonts w:cstheme="minorHAnsi"/>
        </w:rPr>
        <w:t xml:space="preserve"> There is both an inward-facing and outward-facing aspect of verification. For documentation that you have created personally, the idea is to understand verification tools and processes that others may use to authenticate your information. For existing documentation that you collect or that is created in a collective, there is a need to ensure its trustworthiness before you use it further.  </w:t>
      </w:r>
    </w:p>
    <w:p w14:paraId="15A5E053" w14:textId="77777777" w:rsidR="002774B1" w:rsidRPr="00CD4CEA" w:rsidRDefault="00FD0A78" w:rsidP="002774B1">
      <w:pPr>
        <w:rPr>
          <w:rFonts w:cstheme="minorHAnsi"/>
        </w:rPr>
      </w:pPr>
      <w:r w:rsidRPr="00CD4CEA">
        <w:rPr>
          <w:rFonts w:cstheme="minorHAnsi"/>
        </w:rPr>
        <w:t xml:space="preserve"> </w:t>
      </w:r>
    </w:p>
    <w:p w14:paraId="179B946A" w14:textId="61FA53CD" w:rsidR="008F00DA" w:rsidRPr="00CD4CEA" w:rsidRDefault="008F00DA" w:rsidP="002774B1">
      <w:pPr>
        <w:rPr>
          <w:rFonts w:cstheme="minorHAnsi"/>
        </w:rPr>
      </w:pPr>
      <w:r w:rsidRPr="00CD4CEA">
        <w:rPr>
          <w:rFonts w:cstheme="minorHAnsi"/>
        </w:rPr>
        <w:t>Verification is a layered process that uses both the piece of documentation, any information that is attached to that piece of information (including metadata), and outside sources. Where you start and what process you use will depend on the origin of the documentation. The presence of metadata is a boon to verification efforts</w:t>
      </w:r>
      <w:r w:rsidR="00BC22D6" w:rsidRPr="00CD4CEA">
        <w:rPr>
          <w:rFonts w:cstheme="minorHAnsi"/>
        </w:rPr>
        <w:t>;</w:t>
      </w:r>
      <w:r w:rsidRPr="00CD4CEA">
        <w:rPr>
          <w:rFonts w:cstheme="minorHAnsi"/>
        </w:rPr>
        <w:t xml:space="preserve"> </w:t>
      </w:r>
      <w:r w:rsidR="005B0822" w:rsidRPr="00CD4CEA">
        <w:rPr>
          <w:rFonts w:cstheme="minorHAnsi"/>
        </w:rPr>
        <w:t>however,</w:t>
      </w:r>
      <w:r w:rsidRPr="00CD4CEA">
        <w:rPr>
          <w:rFonts w:cstheme="minorHAnsi"/>
        </w:rPr>
        <w:t xml:space="preserve"> there are ways</w:t>
      </w:r>
      <w:r w:rsidR="00D970D0" w:rsidRPr="00CD4CEA">
        <w:rPr>
          <w:rFonts w:cstheme="minorHAnsi"/>
        </w:rPr>
        <w:t xml:space="preserve"> to verify information in the absence of metadata, including </w:t>
      </w:r>
      <w:r w:rsidRPr="00CD4CEA">
        <w:rPr>
          <w:rFonts w:cstheme="minorHAnsi"/>
        </w:rPr>
        <w:t>through careful analys</w:t>
      </w:r>
      <w:r w:rsidR="00D970D0" w:rsidRPr="00CD4CEA">
        <w:rPr>
          <w:rFonts w:cstheme="minorHAnsi"/>
        </w:rPr>
        <w:t xml:space="preserve">is of elements in the documentation itself </w:t>
      </w:r>
      <w:r w:rsidR="00D970D0" w:rsidRPr="003F449B">
        <w:rPr>
          <w:rFonts w:cstheme="minorHAnsi"/>
        </w:rPr>
        <w:t>–</w:t>
      </w:r>
      <w:r w:rsidR="00D970D0" w:rsidRPr="00CD4CEA">
        <w:rPr>
          <w:rFonts w:cstheme="minorHAnsi"/>
        </w:rPr>
        <w:t xml:space="preserve"> such as </w:t>
      </w:r>
      <w:r w:rsidRPr="00CD4CEA">
        <w:rPr>
          <w:rFonts w:cstheme="minorHAnsi"/>
        </w:rPr>
        <w:t>landscape, weather, street signs, the angle a</w:t>
      </w:r>
      <w:r w:rsidR="00D970D0" w:rsidRPr="00CD4CEA">
        <w:rPr>
          <w:rFonts w:cstheme="minorHAnsi"/>
        </w:rPr>
        <w:t xml:space="preserve">nd direction of shade patterns </w:t>
      </w:r>
      <w:r w:rsidR="00D970D0" w:rsidRPr="003F449B">
        <w:rPr>
          <w:rFonts w:cstheme="minorHAnsi"/>
        </w:rPr>
        <w:t>–</w:t>
      </w:r>
      <w:r w:rsidR="00D970D0" w:rsidRPr="00CD4CEA">
        <w:rPr>
          <w:rFonts w:cstheme="minorHAnsi"/>
        </w:rPr>
        <w:t xml:space="preserve"> and for anything suspicious, out of the ordinary, or that indicate</w:t>
      </w:r>
      <w:r w:rsidR="005B0822">
        <w:rPr>
          <w:rFonts w:cstheme="minorHAnsi"/>
        </w:rPr>
        <w:t>s</w:t>
      </w:r>
      <w:r w:rsidR="00D970D0" w:rsidRPr="00CD4CEA">
        <w:rPr>
          <w:rFonts w:cstheme="minorHAnsi"/>
        </w:rPr>
        <w:t xml:space="preserve"> editing. </w:t>
      </w:r>
    </w:p>
    <w:p w14:paraId="46996C31" w14:textId="77777777" w:rsidR="008F00DA" w:rsidRPr="00CD4CEA" w:rsidRDefault="008F00DA" w:rsidP="002774B1">
      <w:pPr>
        <w:rPr>
          <w:rFonts w:cstheme="minorHAnsi"/>
        </w:rPr>
      </w:pPr>
    </w:p>
    <w:p w14:paraId="06D86ACC" w14:textId="5B6DD0C3" w:rsidR="00D970D0" w:rsidRPr="00CD4CEA" w:rsidRDefault="00D970D0" w:rsidP="002774B1">
      <w:pPr>
        <w:rPr>
          <w:rFonts w:cstheme="minorHAnsi"/>
        </w:rPr>
      </w:pPr>
      <w:r w:rsidRPr="00CD4CEA">
        <w:rPr>
          <w:rFonts w:cstheme="minorHAnsi"/>
        </w:rPr>
        <w:t>Using additional outside sources can also assist in verification</w:t>
      </w:r>
      <w:r w:rsidR="00C76FC5" w:rsidRPr="00CD4CEA">
        <w:rPr>
          <w:rFonts w:cstheme="minorHAnsi"/>
        </w:rPr>
        <w:t>, and this is where the types and diversity of documentation tools is helpful. Reporting, satellite imagery, other contempora</w:t>
      </w:r>
      <w:r w:rsidR="00BC22D6" w:rsidRPr="00CD4CEA">
        <w:rPr>
          <w:rFonts w:cstheme="minorHAnsi"/>
        </w:rPr>
        <w:t>neous</w:t>
      </w:r>
      <w:r w:rsidR="00C76FC5" w:rsidRPr="00CD4CEA">
        <w:rPr>
          <w:rFonts w:cstheme="minorHAnsi"/>
        </w:rPr>
        <w:t xml:space="preserve"> accounts can all help in verification efforts. However,</w:t>
      </w:r>
      <w:r w:rsidR="00BC22D6" w:rsidRPr="00CD4CEA">
        <w:rPr>
          <w:rFonts w:cstheme="minorHAnsi"/>
        </w:rPr>
        <w:t xml:space="preserve"> it is</w:t>
      </w:r>
      <w:r w:rsidR="00C76FC5" w:rsidRPr="00CD4CEA">
        <w:rPr>
          <w:rFonts w:cstheme="minorHAnsi"/>
        </w:rPr>
        <w:t xml:space="preserve"> also </w:t>
      </w:r>
      <w:r w:rsidR="00BC22D6" w:rsidRPr="00CD4CEA">
        <w:rPr>
          <w:rFonts w:cstheme="minorHAnsi"/>
        </w:rPr>
        <w:t>important</w:t>
      </w:r>
      <w:r w:rsidR="00C76FC5" w:rsidRPr="00CD4CEA">
        <w:rPr>
          <w:rFonts w:cstheme="minorHAnsi"/>
        </w:rPr>
        <w:t xml:space="preserve"> to recognize that for each situation with a trove of information, there are also contexts where the </w:t>
      </w:r>
      <w:r w:rsidR="009E14DC">
        <w:rPr>
          <w:rFonts w:cstheme="minorHAnsi"/>
        </w:rPr>
        <w:t xml:space="preserve">resolution of </w:t>
      </w:r>
      <w:r w:rsidR="00C76FC5" w:rsidRPr="00CD4CEA">
        <w:rPr>
          <w:rFonts w:cstheme="minorHAnsi"/>
        </w:rPr>
        <w:t xml:space="preserve">satellite imagery is too low to be helpful, </w:t>
      </w:r>
      <w:r w:rsidR="003B1DC1" w:rsidRPr="00CD4CEA">
        <w:rPr>
          <w:rFonts w:cstheme="minorHAnsi"/>
        </w:rPr>
        <w:t xml:space="preserve">there is </w:t>
      </w:r>
      <w:r w:rsidR="00C76FC5" w:rsidRPr="00CD4CEA">
        <w:rPr>
          <w:rFonts w:cstheme="minorHAnsi"/>
        </w:rPr>
        <w:t xml:space="preserve">a lack of detail in online maps, or limited social media engagement. In these instances, your documentation efforts may be more powerful, but they will also come with a greater need for verification. In hard-to-access areas, we may not find all of the answers for full verification, and it is important in these cases to speak openly with partners about how and why our information is incomplete. </w:t>
      </w:r>
    </w:p>
    <w:p w14:paraId="3785C32A" w14:textId="77777777" w:rsidR="002774B1" w:rsidRPr="00CD4CEA" w:rsidRDefault="002774B1" w:rsidP="002774B1">
      <w:pPr>
        <w:rPr>
          <w:rFonts w:cstheme="minorHAnsi"/>
          <w:u w:val="single"/>
        </w:rPr>
      </w:pPr>
    </w:p>
    <w:p w14:paraId="219CFECC" w14:textId="77777777" w:rsidR="002774B1" w:rsidRPr="00CD4CEA" w:rsidRDefault="002774B1" w:rsidP="002774B1">
      <w:pPr>
        <w:rPr>
          <w:rFonts w:cstheme="minorHAnsi"/>
        </w:rPr>
      </w:pPr>
    </w:p>
    <w:p w14:paraId="1EE7981A" w14:textId="08ADDB38" w:rsidR="002774B1" w:rsidRPr="00CD4CEA" w:rsidRDefault="00780D11" w:rsidP="002774B1">
      <w:pPr>
        <w:rPr>
          <w:rFonts w:cstheme="minorHAnsi"/>
          <w:b/>
        </w:rPr>
      </w:pPr>
      <w:proofErr w:type="spellStart"/>
      <w:r w:rsidRPr="00CD4CEA">
        <w:rPr>
          <w:rFonts w:cstheme="minorHAnsi"/>
          <w:b/>
        </w:rPr>
        <w:t>Analyze</w:t>
      </w:r>
      <w:proofErr w:type="spellEnd"/>
    </w:p>
    <w:p w14:paraId="35C2D591" w14:textId="32B40FB4" w:rsidR="002774B1" w:rsidRPr="00CD4CEA" w:rsidRDefault="002774B1" w:rsidP="002774B1">
      <w:pPr>
        <w:rPr>
          <w:rFonts w:cstheme="minorHAnsi"/>
        </w:rPr>
      </w:pPr>
      <w:r w:rsidRPr="00CD4CEA">
        <w:rPr>
          <w:rFonts w:cstheme="minorHAnsi"/>
        </w:rPr>
        <w:t>U</w:t>
      </w:r>
      <w:r w:rsidR="00C76FC5" w:rsidRPr="00CD4CEA">
        <w:rPr>
          <w:rFonts w:cstheme="minorHAnsi"/>
        </w:rPr>
        <w:t xml:space="preserve">p until now, the focus was on </w:t>
      </w:r>
      <w:r w:rsidRPr="00CD4CEA">
        <w:rPr>
          <w:rFonts w:cstheme="minorHAnsi"/>
        </w:rPr>
        <w:t>the single piece of documentation. Even when compared to ot</w:t>
      </w:r>
      <w:r w:rsidR="0010028C" w:rsidRPr="00CD4CEA">
        <w:rPr>
          <w:rFonts w:cstheme="minorHAnsi"/>
        </w:rPr>
        <w:t xml:space="preserve">her pieces for verification, the goal </w:t>
      </w:r>
      <w:r w:rsidRPr="00CD4CEA">
        <w:rPr>
          <w:rFonts w:cstheme="minorHAnsi"/>
        </w:rPr>
        <w:t xml:space="preserve">was to evaluate the value of the single piece. </w:t>
      </w:r>
      <w:r w:rsidR="0010028C" w:rsidRPr="00CD4CEA">
        <w:rPr>
          <w:rFonts w:cstheme="minorHAnsi"/>
        </w:rPr>
        <w:t xml:space="preserve">The next step is to </w:t>
      </w:r>
      <w:r w:rsidR="0010028C" w:rsidRPr="00CD4CEA">
        <w:rPr>
          <w:rFonts w:cstheme="minorHAnsi"/>
        </w:rPr>
        <w:lastRenderedPageBreak/>
        <w:t xml:space="preserve">understand how this documentation relates to the larger context by pulling together all of the documentation that you have collected and asking </w:t>
      </w:r>
      <w:r w:rsidR="009F7D29">
        <w:rPr>
          <w:rFonts w:cstheme="minorHAnsi"/>
        </w:rPr>
        <w:t>the</w:t>
      </w:r>
      <w:r w:rsidR="009F7D29" w:rsidRPr="00CD4CEA">
        <w:rPr>
          <w:rFonts w:cstheme="minorHAnsi"/>
        </w:rPr>
        <w:t xml:space="preserve"> </w:t>
      </w:r>
      <w:r w:rsidR="0010028C" w:rsidRPr="00CD4CEA">
        <w:rPr>
          <w:rFonts w:cstheme="minorHAnsi"/>
        </w:rPr>
        <w:t xml:space="preserve">question: Do you have enough pieces of verified information to allow you to determine that you are indeed dealing with a possible human rights violation? </w:t>
      </w:r>
    </w:p>
    <w:p w14:paraId="0E87F764" w14:textId="77777777" w:rsidR="002774B1" w:rsidRPr="00CD4CEA" w:rsidRDefault="002774B1" w:rsidP="002774B1">
      <w:pPr>
        <w:rPr>
          <w:rFonts w:cstheme="minorHAnsi"/>
        </w:rPr>
      </w:pPr>
    </w:p>
    <w:p w14:paraId="112A7765" w14:textId="1EEEBB42" w:rsidR="00E64D57" w:rsidRPr="00CD4CEA" w:rsidRDefault="002774B1" w:rsidP="002774B1">
      <w:pPr>
        <w:rPr>
          <w:rFonts w:cstheme="minorHAnsi"/>
        </w:rPr>
      </w:pPr>
      <w:r w:rsidRPr="00CD4CEA">
        <w:rPr>
          <w:rFonts w:cstheme="minorHAnsi"/>
        </w:rPr>
        <w:t>The next step is strongly det</w:t>
      </w:r>
      <w:r w:rsidR="00E64D57" w:rsidRPr="00CD4CEA">
        <w:rPr>
          <w:rFonts w:cstheme="minorHAnsi"/>
        </w:rPr>
        <w:t>ermined by your purpose for the documentation.</w:t>
      </w:r>
      <w:r w:rsidRPr="00CD4CEA">
        <w:rPr>
          <w:rFonts w:cstheme="minorHAnsi"/>
        </w:rPr>
        <w:t xml:space="preserve"> For example, if your mission is to keep a meticulous record of events, then there are no next st</w:t>
      </w:r>
      <w:r w:rsidR="00E64D57" w:rsidRPr="00CD4CEA">
        <w:rPr>
          <w:rFonts w:cstheme="minorHAnsi"/>
        </w:rPr>
        <w:t>eps. You can conclude the analysis</w:t>
      </w:r>
      <w:r w:rsidRPr="00CD4CEA">
        <w:rPr>
          <w:rFonts w:cstheme="minorHAnsi"/>
        </w:rPr>
        <w:t xml:space="preserve"> of this event and add one more event to your database. However, if </w:t>
      </w:r>
      <w:r w:rsidR="00E64D57" w:rsidRPr="00CD4CEA">
        <w:rPr>
          <w:rFonts w:cstheme="minorHAnsi"/>
        </w:rPr>
        <w:t xml:space="preserve">your purpose is to raise public awareness or seek justice, more steps may be necessary to help others understand </w:t>
      </w:r>
      <w:r w:rsidR="00E64D57" w:rsidRPr="00CD4CEA">
        <w:rPr>
          <w:rFonts w:cstheme="minorHAnsi"/>
          <w:i/>
        </w:rPr>
        <w:t>why</w:t>
      </w:r>
      <w:r w:rsidR="00E64D57" w:rsidRPr="00CD4CEA">
        <w:rPr>
          <w:rFonts w:cstheme="minorHAnsi"/>
        </w:rPr>
        <w:t xml:space="preserve"> this set of documentation is significant and actionable. This could be for a whole range of reasons, including the uniqueness of the event, the fact that it is new and has not happened before, or the extreme severity of the event. It could also be significant and actionable exactly because it is not unique or new, but part of a large number of similar events that demonstrate a pattern of </w:t>
      </w:r>
      <w:proofErr w:type="spellStart"/>
      <w:r w:rsidR="00E64D57" w:rsidRPr="00CD4CEA">
        <w:rPr>
          <w:rFonts w:cstheme="minorHAnsi"/>
        </w:rPr>
        <w:t>behavior</w:t>
      </w:r>
      <w:proofErr w:type="spellEnd"/>
      <w:r w:rsidR="00E64D57" w:rsidRPr="00CD4CEA">
        <w:rPr>
          <w:rFonts w:cstheme="minorHAnsi"/>
        </w:rPr>
        <w:t xml:space="preserve">. </w:t>
      </w:r>
    </w:p>
    <w:p w14:paraId="25331CC8" w14:textId="77777777" w:rsidR="00E112F5" w:rsidRPr="00CD4CEA" w:rsidRDefault="00E112F5" w:rsidP="002774B1">
      <w:pPr>
        <w:rPr>
          <w:rFonts w:cstheme="minorHAnsi"/>
        </w:rPr>
      </w:pPr>
    </w:p>
    <w:p w14:paraId="34E3FC40" w14:textId="5AD0FF9A" w:rsidR="00E112F5" w:rsidRPr="00CD4CEA" w:rsidRDefault="00E112F5" w:rsidP="002774B1">
      <w:pPr>
        <w:rPr>
          <w:rFonts w:cstheme="minorHAnsi"/>
        </w:rPr>
      </w:pPr>
      <w:r w:rsidRPr="00CD4CEA">
        <w:rPr>
          <w:rFonts w:cstheme="minorHAnsi"/>
        </w:rPr>
        <w:t xml:space="preserve">It is important to stress that the best analysis requires familiarity with the larger context and knowledge of human rights violations in this location. To put it differently, it would be impossible to realize that an event is significant and actionable unless you have this understanding. </w:t>
      </w:r>
    </w:p>
    <w:p w14:paraId="2950E3B1" w14:textId="77777777" w:rsidR="002774B1" w:rsidRPr="003F449B" w:rsidRDefault="002774B1" w:rsidP="002774B1">
      <w:pPr>
        <w:rPr>
          <w:rFonts w:cstheme="minorHAnsi"/>
        </w:rPr>
      </w:pPr>
    </w:p>
    <w:p w14:paraId="1F3BB8DF" w14:textId="77777777" w:rsidR="0010028C" w:rsidRPr="003F449B" w:rsidRDefault="0010028C" w:rsidP="002774B1">
      <w:pPr>
        <w:rPr>
          <w:rFonts w:cstheme="minorHAnsi"/>
        </w:rPr>
      </w:pPr>
    </w:p>
    <w:p w14:paraId="513005FF" w14:textId="47929477" w:rsidR="002774B1" w:rsidRPr="00CD4CEA" w:rsidRDefault="00FD0A78" w:rsidP="002774B1">
      <w:pPr>
        <w:rPr>
          <w:rFonts w:cstheme="minorHAnsi"/>
          <w:b/>
        </w:rPr>
      </w:pPr>
      <w:r w:rsidRPr="00CD4CEA">
        <w:rPr>
          <w:rFonts w:cstheme="minorHAnsi"/>
          <w:b/>
        </w:rPr>
        <w:t>S</w:t>
      </w:r>
      <w:r w:rsidR="005B0822">
        <w:rPr>
          <w:rFonts w:cstheme="minorHAnsi"/>
          <w:b/>
        </w:rPr>
        <w:t>hare</w:t>
      </w:r>
    </w:p>
    <w:p w14:paraId="3A62F050" w14:textId="571F1B81" w:rsidR="003D4CFA" w:rsidRPr="00CD4CEA" w:rsidRDefault="003D4CFA" w:rsidP="002774B1">
      <w:pPr>
        <w:rPr>
          <w:rFonts w:cstheme="minorHAnsi"/>
        </w:rPr>
      </w:pPr>
      <w:r w:rsidRPr="00CD4CEA">
        <w:rPr>
          <w:rFonts w:cstheme="minorHAnsi"/>
        </w:rPr>
        <w:t xml:space="preserve">As you collect, verify, and </w:t>
      </w:r>
      <w:proofErr w:type="spellStart"/>
      <w:r w:rsidRPr="00CD4CEA">
        <w:rPr>
          <w:rFonts w:cstheme="minorHAnsi"/>
        </w:rPr>
        <w:t>analyze</w:t>
      </w:r>
      <w:proofErr w:type="spellEnd"/>
      <w:r w:rsidRPr="00CD4CEA">
        <w:rPr>
          <w:rFonts w:cstheme="minorHAnsi"/>
        </w:rPr>
        <w:t xml:space="preserve"> your documentation, the question becomes how and </w:t>
      </w:r>
      <w:r w:rsidR="009E14DC">
        <w:rPr>
          <w:rFonts w:cstheme="minorHAnsi"/>
        </w:rPr>
        <w:t>with</w:t>
      </w:r>
      <w:r w:rsidR="009E14DC" w:rsidRPr="00CD4CEA">
        <w:rPr>
          <w:rFonts w:cstheme="minorHAnsi"/>
        </w:rPr>
        <w:t xml:space="preserve"> </w:t>
      </w:r>
      <w:r w:rsidRPr="00CD4CEA">
        <w:rPr>
          <w:rFonts w:cstheme="minorHAnsi"/>
        </w:rPr>
        <w:t xml:space="preserve">whom do you share it? Here your purpose is important: if you are documenting to increase your agency or acknowledgement of the situation, perhaps you do not share the documentation with anyone.  Perhaps you share it with trusted members of your community or a government official. Or perhaps you share it on social media. Sharing your documentation with anyone has a risk associated with it, and it is important to assess that risk against the change you are trying to create. </w:t>
      </w:r>
    </w:p>
    <w:p w14:paraId="00A9FD64" w14:textId="77777777" w:rsidR="003D4CFA" w:rsidRPr="00CD4CEA" w:rsidRDefault="003D4CFA" w:rsidP="002774B1">
      <w:pPr>
        <w:rPr>
          <w:rFonts w:cstheme="minorHAnsi"/>
        </w:rPr>
      </w:pPr>
    </w:p>
    <w:p w14:paraId="146A8E04" w14:textId="029D4748" w:rsidR="003D4CFA" w:rsidRPr="00CD4CEA" w:rsidRDefault="008D38DA" w:rsidP="002774B1">
      <w:pPr>
        <w:rPr>
          <w:rFonts w:cstheme="minorHAnsi"/>
        </w:rPr>
      </w:pPr>
      <w:r w:rsidRPr="00CD4CEA">
        <w:rPr>
          <w:rFonts w:cstheme="minorHAnsi"/>
        </w:rPr>
        <w:t>Private meetings where you show your documentation without handing it over carry a different (and lower) risk than sharing the documentation publicly on social media</w:t>
      </w:r>
      <w:r w:rsidR="00BC22D6" w:rsidRPr="00CD4CEA">
        <w:rPr>
          <w:rFonts w:cstheme="minorHAnsi"/>
        </w:rPr>
        <w:t>,</w:t>
      </w:r>
      <w:r w:rsidRPr="00CD4CEA">
        <w:rPr>
          <w:rFonts w:cstheme="minorHAnsi"/>
        </w:rPr>
        <w:t xml:space="preserve"> for example. The more publicly you intend to share the documentation, the more you need to think through </w:t>
      </w:r>
      <w:r w:rsidR="00D95A08" w:rsidRPr="00CD4CEA">
        <w:rPr>
          <w:rFonts w:cstheme="minorHAnsi"/>
        </w:rPr>
        <w:t xml:space="preserve">the </w:t>
      </w:r>
      <w:r w:rsidRPr="00CD4CEA">
        <w:rPr>
          <w:rFonts w:cstheme="minorHAnsi"/>
        </w:rPr>
        <w:t>ri</w:t>
      </w:r>
      <w:r w:rsidR="00721AED" w:rsidRPr="00CD4CEA">
        <w:rPr>
          <w:rFonts w:cstheme="minorHAnsi"/>
        </w:rPr>
        <w:t>sk</w:t>
      </w:r>
      <w:r w:rsidR="00D95A08" w:rsidRPr="00CD4CEA">
        <w:rPr>
          <w:rFonts w:cstheme="minorHAnsi"/>
        </w:rPr>
        <w:t>s</w:t>
      </w:r>
      <w:r w:rsidR="00721AED" w:rsidRPr="00CD4CEA">
        <w:rPr>
          <w:rFonts w:cstheme="minorHAnsi"/>
        </w:rPr>
        <w:t xml:space="preserve"> and work to mitigate them. Mitigation could include</w:t>
      </w:r>
      <w:r w:rsidRPr="00CD4CEA">
        <w:rPr>
          <w:rFonts w:cstheme="minorHAnsi"/>
        </w:rPr>
        <w:t xml:space="preserve"> distorting voices, blurring faces and other identifiable objects, </w:t>
      </w:r>
      <w:r w:rsidR="009E14DC">
        <w:rPr>
          <w:rFonts w:cstheme="minorHAnsi"/>
        </w:rPr>
        <w:t xml:space="preserve">or </w:t>
      </w:r>
      <w:r w:rsidRPr="00CD4CEA">
        <w:rPr>
          <w:rFonts w:cstheme="minorHAnsi"/>
        </w:rPr>
        <w:t xml:space="preserve">redacting parts of documents that would put victims, </w:t>
      </w:r>
      <w:r w:rsidR="00721AED" w:rsidRPr="00CD4CEA">
        <w:rPr>
          <w:rFonts w:cstheme="minorHAnsi"/>
        </w:rPr>
        <w:t xml:space="preserve">bystanders, creator(s), and/or other people at risk by sharing. </w:t>
      </w:r>
      <w:r w:rsidR="00207A07" w:rsidRPr="00CD4CEA">
        <w:rPr>
          <w:rFonts w:cstheme="minorHAnsi"/>
        </w:rPr>
        <w:t xml:space="preserve">If attribution is important to you, and you want people to know that you are the owner of the documentation, you may also want to add a watermark or logo. </w:t>
      </w:r>
    </w:p>
    <w:p w14:paraId="56D6FB21" w14:textId="77777777" w:rsidR="00207A07" w:rsidRPr="00CD4CEA" w:rsidRDefault="00207A07" w:rsidP="002774B1">
      <w:pPr>
        <w:rPr>
          <w:rFonts w:cstheme="minorHAnsi"/>
        </w:rPr>
      </w:pPr>
    </w:p>
    <w:p w14:paraId="106D17DE" w14:textId="5175AC02" w:rsidR="00207A07" w:rsidRPr="00CD4CEA" w:rsidRDefault="00207A07" w:rsidP="002774B1">
      <w:pPr>
        <w:rPr>
          <w:rFonts w:cstheme="minorHAnsi"/>
        </w:rPr>
      </w:pPr>
      <w:r w:rsidRPr="00CD4CEA">
        <w:rPr>
          <w:rFonts w:cstheme="minorHAnsi"/>
        </w:rPr>
        <w:t>As you share the documentation, you may also think about including any additional context that is important to increase understanding of the information. This could include any corroborating materials or informati</w:t>
      </w:r>
      <w:r w:rsidR="000E11EB" w:rsidRPr="00CD4CEA">
        <w:rPr>
          <w:rFonts w:cstheme="minorHAnsi"/>
        </w:rPr>
        <w:t xml:space="preserve">on you may have. To assure that others are also able to verify your documentation, it is recommended best practice to keep the unedited raw materials and allow those who you are sharing the documentation with to examine and verify this raw material themselves. </w:t>
      </w:r>
    </w:p>
    <w:p w14:paraId="4439469C" w14:textId="668402EE" w:rsidR="000E11EB" w:rsidRPr="00CD4CEA" w:rsidRDefault="000E11EB">
      <w:pPr>
        <w:rPr>
          <w:rFonts w:cstheme="minorHAnsi"/>
        </w:rPr>
      </w:pPr>
    </w:p>
    <w:p w14:paraId="25ED8268" w14:textId="77777777" w:rsidR="00041158" w:rsidRDefault="00041158">
      <w:pPr>
        <w:rPr>
          <w:rFonts w:cstheme="minorHAnsi"/>
          <w:b/>
          <w:smallCaps/>
        </w:rPr>
      </w:pPr>
      <w:r>
        <w:rPr>
          <w:rFonts w:cstheme="minorHAnsi"/>
          <w:b/>
          <w:smallCaps/>
        </w:rPr>
        <w:br w:type="page"/>
      </w:r>
    </w:p>
    <w:p w14:paraId="6456B9E4" w14:textId="717162F0" w:rsidR="002774B1" w:rsidRPr="00CD4CEA" w:rsidRDefault="00E30742" w:rsidP="002774B1">
      <w:pPr>
        <w:rPr>
          <w:rFonts w:cstheme="minorHAnsi"/>
          <w:b/>
          <w:smallCaps/>
        </w:rPr>
      </w:pPr>
      <w:r w:rsidRPr="00CD4CEA">
        <w:rPr>
          <w:rFonts w:cstheme="minorHAnsi"/>
          <w:b/>
          <w:smallCaps/>
        </w:rPr>
        <w:lastRenderedPageBreak/>
        <w:t xml:space="preserve">V. Conclusion </w:t>
      </w:r>
    </w:p>
    <w:p w14:paraId="6E265D41" w14:textId="0298320A" w:rsidR="00E442E4" w:rsidRPr="00CD4CEA" w:rsidRDefault="00AE4FA5" w:rsidP="00E442E4">
      <w:pPr>
        <w:rPr>
          <w:rFonts w:cstheme="minorHAnsi"/>
        </w:rPr>
      </w:pPr>
      <w:r w:rsidRPr="00CD4CEA">
        <w:rPr>
          <w:rFonts w:cstheme="minorHAnsi"/>
        </w:rPr>
        <w:t xml:space="preserve">It can seem incongruous to </w:t>
      </w:r>
      <w:r w:rsidRPr="003F449B">
        <w:rPr>
          <w:rFonts w:cstheme="minorHAnsi"/>
        </w:rPr>
        <w:t>speak</w:t>
      </w:r>
      <w:r w:rsidRPr="00CD4CEA">
        <w:rPr>
          <w:rFonts w:cstheme="minorHAnsi"/>
        </w:rPr>
        <w:t xml:space="preserve"> about creating more informati</w:t>
      </w:r>
      <w:r w:rsidR="00E442E4" w:rsidRPr="00CD4CEA">
        <w:rPr>
          <w:rFonts w:cstheme="minorHAnsi"/>
        </w:rPr>
        <w:t xml:space="preserve">on at a time </w:t>
      </w:r>
      <w:r w:rsidRPr="00CD4CEA">
        <w:rPr>
          <w:rFonts w:cstheme="minorHAnsi"/>
        </w:rPr>
        <w:t xml:space="preserve">of information </w:t>
      </w:r>
      <w:r w:rsidR="00E442E4" w:rsidRPr="00CD4CEA">
        <w:rPr>
          <w:rFonts w:cstheme="minorHAnsi"/>
        </w:rPr>
        <w:t xml:space="preserve">overload, when </w:t>
      </w:r>
      <w:r w:rsidR="00D95A08" w:rsidRPr="00CD4CEA">
        <w:rPr>
          <w:rFonts w:cstheme="minorHAnsi"/>
        </w:rPr>
        <w:t xml:space="preserve">more than </w:t>
      </w:r>
      <w:r w:rsidR="00E442E4" w:rsidRPr="00CD4CEA">
        <w:rPr>
          <w:rFonts w:cstheme="minorHAnsi"/>
        </w:rPr>
        <w:t xml:space="preserve">500 hours of video are uploaded to YouTube </w:t>
      </w:r>
      <w:r w:rsidR="00BC22D6" w:rsidRPr="00CD4CEA">
        <w:rPr>
          <w:rFonts w:cstheme="minorHAnsi"/>
        </w:rPr>
        <w:t>e</w:t>
      </w:r>
      <w:r w:rsidR="00E442E4" w:rsidRPr="00CD4CEA">
        <w:rPr>
          <w:rFonts w:cstheme="minorHAnsi"/>
        </w:rPr>
        <w:t xml:space="preserve">very minute and </w:t>
      </w:r>
      <w:r w:rsidR="00D95A08" w:rsidRPr="00CD4CEA">
        <w:rPr>
          <w:rFonts w:cstheme="minorHAnsi"/>
        </w:rPr>
        <w:t>it is</w:t>
      </w:r>
      <w:r w:rsidR="00E442E4" w:rsidRPr="00CD4CEA">
        <w:rPr>
          <w:rFonts w:cstheme="minorHAnsi"/>
        </w:rPr>
        <w:t xml:space="preserve"> estimated</w:t>
      </w:r>
      <w:r w:rsidR="00D95A08" w:rsidRPr="00CD4CEA">
        <w:rPr>
          <w:rFonts w:cstheme="minorHAnsi"/>
        </w:rPr>
        <w:t xml:space="preserve"> there will</w:t>
      </w:r>
      <w:r w:rsidR="00E442E4" w:rsidRPr="00CD4CEA">
        <w:rPr>
          <w:rFonts w:cstheme="minorHAnsi"/>
        </w:rPr>
        <w:t xml:space="preserve"> be over six billion social media users by 2027.</w:t>
      </w:r>
      <w:r w:rsidR="00E442E4" w:rsidRPr="00CD4CEA">
        <w:rPr>
          <w:rStyle w:val="FootnoteReference"/>
          <w:rFonts w:cstheme="minorHAnsi"/>
        </w:rPr>
        <w:footnoteReference w:id="69"/>
      </w:r>
      <w:r w:rsidR="00E442E4" w:rsidRPr="00CD4CEA">
        <w:rPr>
          <w:rFonts w:cstheme="minorHAnsi"/>
        </w:rPr>
        <w:t xml:space="preserve"> However, as we have shown above, not all of us are able to share information so openly</w:t>
      </w:r>
      <w:r w:rsidR="00D95A08" w:rsidRPr="00CD4CEA">
        <w:rPr>
          <w:rFonts w:cstheme="minorHAnsi"/>
        </w:rPr>
        <w:t>,</w:t>
      </w:r>
      <w:r w:rsidR="00E442E4" w:rsidRPr="00CD4CEA">
        <w:rPr>
          <w:rFonts w:cstheme="minorHAnsi"/>
        </w:rPr>
        <w:t xml:space="preserve"> nor </w:t>
      </w:r>
      <w:r w:rsidR="00584BB7" w:rsidRPr="00CD4CEA">
        <w:rPr>
          <w:rFonts w:cstheme="minorHAnsi"/>
        </w:rPr>
        <w:t xml:space="preserve">is </w:t>
      </w:r>
      <w:r w:rsidR="00E442E4" w:rsidRPr="00CD4CEA">
        <w:rPr>
          <w:rFonts w:cstheme="minorHAnsi"/>
        </w:rPr>
        <w:t xml:space="preserve">it </w:t>
      </w:r>
      <w:r w:rsidR="00584BB7" w:rsidRPr="00CD4CEA">
        <w:rPr>
          <w:rFonts w:cstheme="minorHAnsi"/>
        </w:rPr>
        <w:t>always</w:t>
      </w:r>
      <w:r w:rsidR="00E442E4" w:rsidRPr="00CD4CEA">
        <w:rPr>
          <w:rFonts w:cstheme="minorHAnsi"/>
        </w:rPr>
        <w:t xml:space="preserve"> our primary purpose or end goal. </w:t>
      </w:r>
    </w:p>
    <w:p w14:paraId="50D4895D" w14:textId="77777777" w:rsidR="00E442E4" w:rsidRPr="00CD4CEA" w:rsidRDefault="00E442E4" w:rsidP="00E442E4">
      <w:pPr>
        <w:rPr>
          <w:rFonts w:cstheme="minorHAnsi"/>
        </w:rPr>
      </w:pPr>
    </w:p>
    <w:p w14:paraId="04A68D48" w14:textId="591FF1CE" w:rsidR="00E442E4" w:rsidRPr="00CD4CEA" w:rsidRDefault="00E442E4" w:rsidP="00E442E4">
      <w:pPr>
        <w:rPr>
          <w:rFonts w:cstheme="minorHAnsi"/>
        </w:rPr>
      </w:pPr>
      <w:r w:rsidRPr="00CD4CEA">
        <w:rPr>
          <w:rFonts w:cstheme="minorHAnsi"/>
        </w:rPr>
        <w:t>When we allow events</w:t>
      </w:r>
      <w:r w:rsidR="00F50E02" w:rsidRPr="00CD4CEA">
        <w:rPr>
          <w:rFonts w:cstheme="minorHAnsi"/>
        </w:rPr>
        <w:t xml:space="preserve"> to be filtered through one </w:t>
      </w:r>
      <w:r w:rsidRPr="00CD4CEA">
        <w:rPr>
          <w:rFonts w:cstheme="minorHAnsi"/>
        </w:rPr>
        <w:t>dimension, through the stories</w:t>
      </w:r>
      <w:r w:rsidR="00F50E02" w:rsidRPr="00CD4CEA">
        <w:rPr>
          <w:rFonts w:cstheme="minorHAnsi"/>
        </w:rPr>
        <w:t xml:space="preserve"> or information</w:t>
      </w:r>
      <w:r w:rsidRPr="00CD4CEA">
        <w:rPr>
          <w:rFonts w:cstheme="minorHAnsi"/>
        </w:rPr>
        <w:t xml:space="preserve"> of one side </w:t>
      </w:r>
      <w:r w:rsidRPr="003F449B">
        <w:rPr>
          <w:rFonts w:cstheme="minorHAnsi"/>
        </w:rPr>
        <w:t>–</w:t>
      </w:r>
      <w:r w:rsidRPr="00CD4CEA">
        <w:rPr>
          <w:rFonts w:cstheme="minorHAnsi"/>
        </w:rPr>
        <w:t xml:space="preserve"> when we succumb to a singular viewpoint</w:t>
      </w:r>
      <w:r w:rsidR="00584BB7" w:rsidRPr="00CD4CEA">
        <w:rPr>
          <w:rFonts w:cstheme="minorHAnsi"/>
        </w:rPr>
        <w:t xml:space="preserve"> </w:t>
      </w:r>
      <w:r w:rsidR="00584BB7" w:rsidRPr="003F449B">
        <w:rPr>
          <w:rFonts w:cstheme="minorHAnsi"/>
        </w:rPr>
        <w:t>–</w:t>
      </w:r>
      <w:r w:rsidR="00584BB7" w:rsidRPr="00CD4CEA">
        <w:rPr>
          <w:rFonts w:cstheme="minorHAnsi"/>
        </w:rPr>
        <w:t xml:space="preserve"> we </w:t>
      </w:r>
      <w:r w:rsidRPr="00CD4CEA">
        <w:rPr>
          <w:rFonts w:cstheme="minorHAnsi"/>
        </w:rPr>
        <w:t xml:space="preserve">lose </w:t>
      </w:r>
      <w:r w:rsidR="00F50E02" w:rsidRPr="00CD4CEA">
        <w:rPr>
          <w:rFonts w:cstheme="minorHAnsi"/>
        </w:rPr>
        <w:t>the</w:t>
      </w:r>
      <w:r w:rsidRPr="00CD4CEA">
        <w:rPr>
          <w:rFonts w:cstheme="minorHAnsi"/>
        </w:rPr>
        <w:t xml:space="preserve"> richness</w:t>
      </w:r>
      <w:r w:rsidR="00F50E02" w:rsidRPr="00CD4CEA">
        <w:rPr>
          <w:rFonts w:cstheme="minorHAnsi"/>
        </w:rPr>
        <w:t xml:space="preserve"> and the complexity of the event and its context</w:t>
      </w:r>
      <w:r w:rsidRPr="00CD4CEA">
        <w:rPr>
          <w:rFonts w:cstheme="minorHAnsi"/>
        </w:rPr>
        <w:t xml:space="preserve">. We also lose its lessons. Sometimes those in power </w:t>
      </w:r>
      <w:r w:rsidRPr="00CD4CEA">
        <w:rPr>
          <w:rFonts w:cstheme="minorHAnsi"/>
          <w:b/>
        </w:rPr>
        <w:t>want</w:t>
      </w:r>
      <w:r w:rsidRPr="00CD4CEA">
        <w:rPr>
          <w:rFonts w:cstheme="minorHAnsi"/>
        </w:rPr>
        <w:t xml:space="preserve"> us to lose those lessons. They want us to not remember</w:t>
      </w:r>
      <w:r w:rsidR="005B0822">
        <w:rPr>
          <w:rFonts w:cstheme="minorHAnsi"/>
        </w:rPr>
        <w:t>,</w:t>
      </w:r>
      <w:r w:rsidRPr="00CD4CEA">
        <w:rPr>
          <w:rFonts w:cstheme="minorHAnsi"/>
        </w:rPr>
        <w:t xml:space="preserve"> or to remember only from their official narrative. Some go to great lengths to preserve and create a singular view of history or historical events.  </w:t>
      </w:r>
    </w:p>
    <w:p w14:paraId="0486A421" w14:textId="77777777" w:rsidR="00E442E4" w:rsidRPr="00CD4CEA" w:rsidRDefault="00E442E4" w:rsidP="00E442E4">
      <w:pPr>
        <w:rPr>
          <w:rFonts w:cstheme="minorHAnsi"/>
        </w:rPr>
      </w:pPr>
    </w:p>
    <w:p w14:paraId="3C533678" w14:textId="7A61D979" w:rsidR="00F50E02" w:rsidRPr="00CD4CEA" w:rsidRDefault="00E442E4" w:rsidP="00E442E4">
      <w:pPr>
        <w:rPr>
          <w:rFonts w:cstheme="minorHAnsi"/>
          <w:bCs/>
        </w:rPr>
      </w:pPr>
      <w:r w:rsidRPr="00CD4CEA">
        <w:rPr>
          <w:rFonts w:cstheme="minorHAnsi"/>
        </w:rPr>
        <w:t>History is created from today’s information, from the exper</w:t>
      </w:r>
      <w:r w:rsidR="00F50E02" w:rsidRPr="00CD4CEA">
        <w:rPr>
          <w:rFonts w:cstheme="minorHAnsi"/>
        </w:rPr>
        <w:t xml:space="preserve">iences that we are living now. </w:t>
      </w:r>
      <w:r w:rsidRPr="00CD4CEA">
        <w:rPr>
          <w:rFonts w:cstheme="minorHAnsi"/>
        </w:rPr>
        <w:t xml:space="preserve">Information has been called a great many things over the past decade. The new oil. The new gold.  </w:t>
      </w:r>
      <w:r w:rsidR="00584BB7" w:rsidRPr="00CD4CEA">
        <w:rPr>
          <w:rFonts w:cstheme="minorHAnsi"/>
        </w:rPr>
        <w:t>But w</w:t>
      </w:r>
      <w:r w:rsidRPr="00CD4CEA">
        <w:rPr>
          <w:rFonts w:cstheme="minorHAnsi"/>
        </w:rPr>
        <w:t xml:space="preserve">hat these comparisons </w:t>
      </w:r>
      <w:r w:rsidR="00584BB7" w:rsidRPr="00CD4CEA">
        <w:rPr>
          <w:rFonts w:cstheme="minorHAnsi"/>
        </w:rPr>
        <w:t>mean</w:t>
      </w:r>
      <w:r w:rsidRPr="00CD4CEA">
        <w:rPr>
          <w:rFonts w:cstheme="minorHAnsi"/>
        </w:rPr>
        <w:t xml:space="preserve"> is that information is power.</w:t>
      </w:r>
      <w:r w:rsidR="00584BB7" w:rsidRPr="00CD4CEA">
        <w:rPr>
          <w:rFonts w:cstheme="minorHAnsi"/>
        </w:rPr>
        <w:t xml:space="preserve"> When thinking about the enduring power of information, the term </w:t>
      </w:r>
      <w:r w:rsidR="005B0822">
        <w:rPr>
          <w:rFonts w:cstheme="minorHAnsi"/>
        </w:rPr>
        <w:t>“</w:t>
      </w:r>
      <w:r w:rsidR="00584BB7" w:rsidRPr="00CD4CEA">
        <w:rPr>
          <w:rFonts w:cstheme="minorHAnsi"/>
        </w:rPr>
        <w:t>half-life</w:t>
      </w:r>
      <w:r w:rsidR="005B0822">
        <w:rPr>
          <w:rFonts w:cstheme="minorHAnsi"/>
        </w:rPr>
        <w:t>”</w:t>
      </w:r>
      <w:r w:rsidR="00584BB7" w:rsidRPr="00CD4CEA">
        <w:rPr>
          <w:rFonts w:cstheme="minorHAnsi"/>
        </w:rPr>
        <w:t xml:space="preserve"> comes to mind.</w:t>
      </w:r>
      <w:r w:rsidRPr="00CD4CEA">
        <w:rPr>
          <w:rFonts w:cstheme="minorHAnsi"/>
        </w:rPr>
        <w:t xml:space="preserve"> </w:t>
      </w:r>
      <w:r w:rsidR="00584BB7" w:rsidRPr="00CD4CEA">
        <w:rPr>
          <w:rFonts w:cstheme="minorHAnsi"/>
        </w:rPr>
        <w:t>Most associated with physicist Marie Curie and radiation, half-life describes</w:t>
      </w:r>
      <w:r w:rsidR="003D5585" w:rsidRPr="00CD4CEA">
        <w:rPr>
          <w:rFonts w:cstheme="minorHAnsi"/>
        </w:rPr>
        <w:t xml:space="preserve"> </w:t>
      </w:r>
      <w:r w:rsidRPr="00CD4CEA">
        <w:rPr>
          <w:rFonts w:cstheme="minorHAnsi"/>
        </w:rPr>
        <w:t xml:space="preserve">the </w:t>
      </w:r>
      <w:r w:rsidR="00584BB7" w:rsidRPr="00CD4CEA">
        <w:rPr>
          <w:rFonts w:cstheme="minorHAnsi"/>
        </w:rPr>
        <w:t xml:space="preserve">declining </w:t>
      </w:r>
      <w:r w:rsidRPr="00CD4CEA">
        <w:rPr>
          <w:rFonts w:cstheme="minorHAnsi"/>
        </w:rPr>
        <w:t xml:space="preserve">power of a material over time. There is a risk that this happens to today’s information as well. </w:t>
      </w:r>
      <w:r w:rsidRPr="00CD4CEA">
        <w:rPr>
          <w:rFonts w:cstheme="minorHAnsi"/>
          <w:bCs/>
        </w:rPr>
        <w:t xml:space="preserve">With the ephemeral nature of today’s news cycle, our attention shifts quickly away from even the most horrifying events. In such an environment, it is easy to forget that information </w:t>
      </w:r>
      <w:r w:rsidRPr="00CD4CEA">
        <w:rPr>
          <w:rFonts w:cstheme="minorHAnsi"/>
          <w:bCs/>
          <w:i/>
        </w:rPr>
        <w:t>can be</w:t>
      </w:r>
      <w:r w:rsidRPr="00CD4CEA">
        <w:rPr>
          <w:rFonts w:cstheme="minorHAnsi"/>
          <w:bCs/>
        </w:rPr>
        <w:t xml:space="preserve"> eternally useful: whether it’s part of a breaking news story, an in-depth investigative report or advocacy campaign, a multi-year criminal proceeding, or a decades-long historical reckoning, information has an ability to retain its power </w:t>
      </w:r>
      <w:r w:rsidRPr="003F449B">
        <w:rPr>
          <w:rFonts w:cstheme="minorHAnsi"/>
          <w:bCs/>
        </w:rPr>
        <w:t>–</w:t>
      </w:r>
      <w:r w:rsidRPr="00CD4CEA">
        <w:rPr>
          <w:rFonts w:cstheme="minorHAnsi"/>
          <w:bCs/>
        </w:rPr>
        <w:t xml:space="preserve"> and perhaps even gain power </w:t>
      </w:r>
      <w:r w:rsidR="00D95A08" w:rsidRPr="003F449B">
        <w:rPr>
          <w:rFonts w:cstheme="minorHAnsi"/>
        </w:rPr>
        <w:t>–</w:t>
      </w:r>
      <w:r w:rsidRPr="00CD4CEA">
        <w:rPr>
          <w:rFonts w:cstheme="minorHAnsi"/>
          <w:bCs/>
        </w:rPr>
        <w:t xml:space="preserve"> over time. </w:t>
      </w:r>
      <w:r w:rsidR="00F50E02" w:rsidRPr="00CD4CEA">
        <w:rPr>
          <w:rFonts w:cstheme="minorHAnsi"/>
          <w:bCs/>
        </w:rPr>
        <w:t xml:space="preserve"> </w:t>
      </w:r>
    </w:p>
    <w:p w14:paraId="5F5D6113" w14:textId="77777777" w:rsidR="00F50E02" w:rsidRPr="00CD4CEA" w:rsidRDefault="00F50E02" w:rsidP="00E442E4">
      <w:pPr>
        <w:rPr>
          <w:rFonts w:cstheme="minorHAnsi"/>
          <w:bCs/>
        </w:rPr>
      </w:pPr>
    </w:p>
    <w:p w14:paraId="1C61FAAF" w14:textId="4048C06E" w:rsidR="00E442E4" w:rsidRPr="00CD4CEA" w:rsidRDefault="00F50E02" w:rsidP="00E442E4">
      <w:pPr>
        <w:rPr>
          <w:rFonts w:cstheme="minorHAnsi"/>
        </w:rPr>
      </w:pPr>
      <w:r w:rsidRPr="00CD4CEA">
        <w:rPr>
          <w:rFonts w:cstheme="minorHAnsi"/>
          <w:bCs/>
        </w:rPr>
        <w:t>Human rights documentation, like all information, has this power. The extent of its power may not readily reveal itself, but it is there. Verified</w:t>
      </w:r>
      <w:r w:rsidR="00584BB7" w:rsidRPr="00CD4CEA">
        <w:rPr>
          <w:rFonts w:cstheme="minorHAnsi"/>
          <w:bCs/>
        </w:rPr>
        <w:t>,</w:t>
      </w:r>
      <w:r w:rsidRPr="00CD4CEA">
        <w:rPr>
          <w:rFonts w:cstheme="minorHAnsi"/>
          <w:bCs/>
        </w:rPr>
        <w:t xml:space="preserve"> trusted information, like human rights documentation, can be part of the answer to pushing back against </w:t>
      </w:r>
      <w:proofErr w:type="spellStart"/>
      <w:r w:rsidRPr="00CD4CEA">
        <w:rPr>
          <w:rFonts w:cstheme="minorHAnsi"/>
          <w:bCs/>
        </w:rPr>
        <w:t>mis</w:t>
      </w:r>
      <w:proofErr w:type="spellEnd"/>
      <w:r w:rsidRPr="00CD4CEA">
        <w:rPr>
          <w:rFonts w:cstheme="minorHAnsi"/>
          <w:bCs/>
        </w:rPr>
        <w:t xml:space="preserve">- and dis-information efforts or synthetic media manipulations. Not only must we uncover these untruths, but we </w:t>
      </w:r>
      <w:r w:rsidR="00476EF6">
        <w:rPr>
          <w:rFonts w:cstheme="minorHAnsi"/>
          <w:bCs/>
        </w:rPr>
        <w:t xml:space="preserve">must </w:t>
      </w:r>
      <w:r w:rsidRPr="00CD4CEA">
        <w:rPr>
          <w:rFonts w:cstheme="minorHAnsi"/>
          <w:bCs/>
        </w:rPr>
        <w:t>also continue to build our own abilities to create trusted information i</w:t>
      </w:r>
      <w:r w:rsidR="00584BB7" w:rsidRPr="00CD4CEA">
        <w:rPr>
          <w:rFonts w:cstheme="minorHAnsi"/>
          <w:bCs/>
        </w:rPr>
        <w:t>n</w:t>
      </w:r>
      <w:r w:rsidRPr="00CD4CEA">
        <w:rPr>
          <w:rFonts w:cstheme="minorHAnsi"/>
          <w:bCs/>
        </w:rPr>
        <w:t xml:space="preserve"> </w:t>
      </w:r>
      <w:r w:rsidR="005B0822" w:rsidRPr="00CD4CEA">
        <w:rPr>
          <w:rFonts w:cstheme="minorHAnsi"/>
          <w:bCs/>
        </w:rPr>
        <w:t>its</w:t>
      </w:r>
      <w:r w:rsidRPr="00CD4CEA">
        <w:rPr>
          <w:rFonts w:cstheme="minorHAnsi"/>
          <w:bCs/>
        </w:rPr>
        <w:t xml:space="preserve"> place. </w:t>
      </w:r>
    </w:p>
    <w:p w14:paraId="75DACAD0" w14:textId="77777777" w:rsidR="00E442E4" w:rsidRPr="00CD4CEA" w:rsidRDefault="00E442E4">
      <w:pPr>
        <w:rPr>
          <w:rFonts w:cstheme="minorHAnsi"/>
        </w:rPr>
      </w:pPr>
    </w:p>
    <w:p w14:paraId="65A37317" w14:textId="77777777" w:rsidR="00E442E4" w:rsidRPr="00CD4CEA" w:rsidRDefault="00E442E4">
      <w:pPr>
        <w:rPr>
          <w:rFonts w:cstheme="minorHAnsi"/>
        </w:rPr>
      </w:pPr>
    </w:p>
    <w:p w14:paraId="4A8317FD" w14:textId="77777777" w:rsidR="0034728D" w:rsidRPr="00CD4CEA" w:rsidRDefault="0034728D">
      <w:pPr>
        <w:rPr>
          <w:rFonts w:cstheme="minorHAnsi"/>
          <w:u w:val="single"/>
        </w:rPr>
      </w:pPr>
      <w:r w:rsidRPr="00CD4CEA">
        <w:rPr>
          <w:rFonts w:cstheme="minorHAnsi"/>
          <w:u w:val="single"/>
        </w:rPr>
        <w:br w:type="page"/>
      </w:r>
    </w:p>
    <w:p w14:paraId="014E163C" w14:textId="77777777" w:rsidR="0072757F" w:rsidRDefault="0072757F">
      <w:pPr>
        <w:rPr>
          <w:rFonts w:cstheme="minorHAnsi"/>
          <w:b/>
          <w:smallCaps/>
        </w:rPr>
      </w:pPr>
      <w:r>
        <w:rPr>
          <w:rFonts w:cstheme="minorHAnsi"/>
          <w:b/>
          <w:smallCaps/>
        </w:rPr>
        <w:lastRenderedPageBreak/>
        <w:t>VI. Acknowledgements</w:t>
      </w:r>
    </w:p>
    <w:p w14:paraId="7C6644DB" w14:textId="77777777" w:rsidR="0072757F" w:rsidRDefault="0072757F">
      <w:pPr>
        <w:rPr>
          <w:rFonts w:cstheme="minorHAnsi"/>
        </w:rPr>
      </w:pPr>
    </w:p>
    <w:p w14:paraId="42EB9E50" w14:textId="45711029" w:rsidR="0072757F" w:rsidRDefault="0072757F">
      <w:pPr>
        <w:rPr>
          <w:rFonts w:cstheme="minorHAnsi"/>
          <w:b/>
          <w:smallCaps/>
        </w:rPr>
      </w:pPr>
      <w:r>
        <w:rPr>
          <w:rFonts w:cstheme="minorHAnsi"/>
        </w:rPr>
        <w:t xml:space="preserve">The author wishes to thank the US Agency </w:t>
      </w:r>
      <w:r w:rsidR="00B06952">
        <w:rPr>
          <w:rFonts w:cstheme="minorHAnsi"/>
        </w:rPr>
        <w:t xml:space="preserve">for </w:t>
      </w:r>
      <w:r>
        <w:rPr>
          <w:rFonts w:cstheme="minorHAnsi"/>
        </w:rPr>
        <w:t xml:space="preserve">International Development, the PROGRESS consortium, and Freedom House for understanding the need and providing the funding for this guide. The author also thanks Itamar Barak, Will Cohen, Chris Harris, </w:t>
      </w:r>
      <w:r>
        <w:rPr>
          <w:lang w:val="en-US"/>
        </w:rPr>
        <w:t xml:space="preserve">Deanna </w:t>
      </w:r>
      <w:proofErr w:type="spellStart"/>
      <w:r>
        <w:rPr>
          <w:lang w:val="en-US"/>
        </w:rPr>
        <w:t>Kolberg</w:t>
      </w:r>
      <w:proofErr w:type="spellEnd"/>
      <w:r>
        <w:rPr>
          <w:lang w:val="en-US"/>
        </w:rPr>
        <w:t xml:space="preserve">-Shah, </w:t>
      </w:r>
      <w:proofErr w:type="spellStart"/>
      <w:r>
        <w:rPr>
          <w:lang w:val="en-US"/>
        </w:rPr>
        <w:t>Gulnare</w:t>
      </w:r>
      <w:proofErr w:type="spellEnd"/>
      <w:r>
        <w:rPr>
          <w:lang w:val="en-US"/>
        </w:rPr>
        <w:t xml:space="preserve"> </w:t>
      </w:r>
      <w:proofErr w:type="spellStart"/>
      <w:r>
        <w:rPr>
          <w:lang w:val="en-US"/>
        </w:rPr>
        <w:t>Ocguder</w:t>
      </w:r>
      <w:proofErr w:type="spellEnd"/>
      <w:r>
        <w:rPr>
          <w:lang w:val="en-US"/>
        </w:rPr>
        <w:t>,</w:t>
      </w:r>
      <w:r>
        <w:rPr>
          <w:rFonts w:cstheme="minorHAnsi"/>
        </w:rPr>
        <w:t xml:space="preserve"> Jesse Roberts</w:t>
      </w:r>
      <w:r w:rsidR="00D77E23">
        <w:rPr>
          <w:rFonts w:cstheme="minorHAnsi"/>
        </w:rPr>
        <w:t>, and Richard Thunder for providing feedback on various pieces of this work</w:t>
      </w:r>
      <w:r w:rsidR="00F17564">
        <w:rPr>
          <w:rFonts w:cstheme="minorHAnsi"/>
        </w:rPr>
        <w:t xml:space="preserve"> and to Corrie </w:t>
      </w:r>
      <w:proofErr w:type="spellStart"/>
      <w:r w:rsidR="00F17564">
        <w:rPr>
          <w:rFonts w:cstheme="minorHAnsi"/>
        </w:rPr>
        <w:t>Hulse</w:t>
      </w:r>
      <w:proofErr w:type="spellEnd"/>
      <w:r w:rsidR="00F17564">
        <w:rPr>
          <w:rFonts w:cstheme="minorHAnsi"/>
        </w:rPr>
        <w:t xml:space="preserve"> for her copyediting support.</w:t>
      </w:r>
      <w:r w:rsidR="00D77E23">
        <w:rPr>
          <w:rFonts w:cstheme="minorHAnsi"/>
        </w:rPr>
        <w:t xml:space="preserve"> </w:t>
      </w:r>
      <w:proofErr w:type="spellStart"/>
      <w:r w:rsidR="00D77E23">
        <w:rPr>
          <w:rFonts w:cstheme="minorHAnsi"/>
        </w:rPr>
        <w:t>Airwars</w:t>
      </w:r>
      <w:proofErr w:type="spellEnd"/>
      <w:r w:rsidR="00D77E23">
        <w:rPr>
          <w:rFonts w:cstheme="minorHAnsi"/>
        </w:rPr>
        <w:t xml:space="preserve">, Every Casualty Counts, </w:t>
      </w:r>
      <w:proofErr w:type="spellStart"/>
      <w:r w:rsidR="00076F11">
        <w:rPr>
          <w:rFonts w:cstheme="minorHAnsi"/>
        </w:rPr>
        <w:t>e</w:t>
      </w:r>
      <w:r w:rsidR="00D77E23">
        <w:rPr>
          <w:rFonts w:cstheme="minorHAnsi"/>
        </w:rPr>
        <w:t>yeWitness</w:t>
      </w:r>
      <w:proofErr w:type="spellEnd"/>
      <w:r w:rsidR="00D77E23">
        <w:rPr>
          <w:rFonts w:cstheme="minorHAnsi"/>
        </w:rPr>
        <w:t xml:space="preserve"> to Atrocities, the International Coalition of Sites of Conscience, the International </w:t>
      </w:r>
      <w:proofErr w:type="spellStart"/>
      <w:r w:rsidR="00D77E23">
        <w:rPr>
          <w:rFonts w:cstheme="minorHAnsi"/>
        </w:rPr>
        <w:t>Center</w:t>
      </w:r>
      <w:proofErr w:type="spellEnd"/>
      <w:r w:rsidR="00D77E23">
        <w:rPr>
          <w:rFonts w:cstheme="minorHAnsi"/>
        </w:rPr>
        <w:t xml:space="preserve"> for Transitional Justice, International Committee on Nigeria, Lawyers for Palestinian Human Rights, and SITU Research </w:t>
      </w:r>
      <w:r w:rsidR="001D32A6">
        <w:rPr>
          <w:rFonts w:cstheme="minorHAnsi"/>
        </w:rPr>
        <w:t xml:space="preserve">generously </w:t>
      </w:r>
      <w:r w:rsidR="00F17564">
        <w:rPr>
          <w:rFonts w:cstheme="minorHAnsi"/>
        </w:rPr>
        <w:t>shared</w:t>
      </w:r>
      <w:r w:rsidR="00D77E23">
        <w:rPr>
          <w:rFonts w:cstheme="minorHAnsi"/>
        </w:rPr>
        <w:t xml:space="preserve"> examples and case studies for this guide. This guide also benefits from ongoing conversations with and thought partnership from Sam Dubberley, Alexa Koenig, </w:t>
      </w:r>
      <w:r w:rsidR="002302CC">
        <w:rPr>
          <w:rFonts w:cstheme="minorHAnsi"/>
        </w:rPr>
        <w:t xml:space="preserve">Jennifer </w:t>
      </w:r>
      <w:proofErr w:type="spellStart"/>
      <w:r w:rsidR="002302CC">
        <w:rPr>
          <w:rFonts w:cstheme="minorHAnsi"/>
        </w:rPr>
        <w:t>Easterday</w:t>
      </w:r>
      <w:proofErr w:type="spellEnd"/>
      <w:r w:rsidR="002302CC">
        <w:rPr>
          <w:rFonts w:cstheme="minorHAnsi"/>
        </w:rPr>
        <w:t xml:space="preserve">, </w:t>
      </w:r>
      <w:r w:rsidR="00D77E23">
        <w:rPr>
          <w:rFonts w:cstheme="minorHAnsi"/>
        </w:rPr>
        <w:t>Yvonne Ng,</w:t>
      </w:r>
      <w:r w:rsidR="00D77E23" w:rsidRPr="00D77E23">
        <w:rPr>
          <w:rFonts w:cstheme="minorHAnsi"/>
        </w:rPr>
        <w:t xml:space="preserve"> </w:t>
      </w:r>
      <w:r w:rsidR="00D77E23">
        <w:rPr>
          <w:rFonts w:cstheme="minorHAnsi"/>
        </w:rPr>
        <w:t xml:space="preserve">Brad Samuels, Fernando </w:t>
      </w:r>
      <w:proofErr w:type="spellStart"/>
      <w:r w:rsidR="00D77E23">
        <w:rPr>
          <w:rFonts w:cstheme="minorHAnsi"/>
        </w:rPr>
        <w:t>Traves</w:t>
      </w:r>
      <w:r w:rsidR="001D32A6">
        <w:rPr>
          <w:rFonts w:cstheme="minorHAnsi"/>
        </w:rPr>
        <w:t>í</w:t>
      </w:r>
      <w:proofErr w:type="spellEnd"/>
      <w:r w:rsidR="00D77E23">
        <w:rPr>
          <w:rFonts w:cstheme="minorHAnsi"/>
        </w:rPr>
        <w:t>, Emily Tripp, and Raquel Vazquez Llorente.</w:t>
      </w:r>
      <w:r>
        <w:rPr>
          <w:rFonts w:cstheme="minorHAnsi"/>
          <w:b/>
          <w:smallCaps/>
        </w:rPr>
        <w:br w:type="page"/>
      </w:r>
    </w:p>
    <w:p w14:paraId="223C2E90" w14:textId="0E433241" w:rsidR="002774B1" w:rsidRPr="0072757F" w:rsidRDefault="00DD4E2D" w:rsidP="002774B1">
      <w:pPr>
        <w:rPr>
          <w:rFonts w:cstheme="minorHAnsi"/>
          <w:b/>
          <w:smallCaps/>
        </w:rPr>
      </w:pPr>
      <w:r w:rsidRPr="0072757F">
        <w:rPr>
          <w:rFonts w:cstheme="minorHAnsi"/>
          <w:b/>
          <w:smallCaps/>
        </w:rPr>
        <w:lastRenderedPageBreak/>
        <w:t>VI</w:t>
      </w:r>
      <w:r w:rsidR="0072757F" w:rsidRPr="0072757F">
        <w:rPr>
          <w:rFonts w:cstheme="minorHAnsi"/>
          <w:b/>
          <w:smallCaps/>
        </w:rPr>
        <w:t>I</w:t>
      </w:r>
      <w:r w:rsidRPr="0072757F">
        <w:rPr>
          <w:rFonts w:cstheme="minorHAnsi"/>
          <w:b/>
          <w:smallCaps/>
        </w:rPr>
        <w:t>. Resources and References</w:t>
      </w:r>
    </w:p>
    <w:p w14:paraId="79D30222" w14:textId="77777777" w:rsidR="00DD4E2D" w:rsidRPr="00CD4CEA" w:rsidRDefault="00DD4E2D" w:rsidP="002774B1">
      <w:pPr>
        <w:rPr>
          <w:rFonts w:cstheme="minorHAnsi"/>
          <w:b/>
        </w:rPr>
      </w:pPr>
    </w:p>
    <w:p w14:paraId="4950E066" w14:textId="2DCF9575" w:rsidR="00161BC0" w:rsidRPr="00161BC0" w:rsidRDefault="00161BC0" w:rsidP="002302CC">
      <w:pPr>
        <w:ind w:left="720" w:hanging="720"/>
        <w:rPr>
          <w:rFonts w:cstheme="minorHAnsi"/>
        </w:rPr>
      </w:pPr>
      <w:proofErr w:type="spellStart"/>
      <w:proofErr w:type="gramStart"/>
      <w:r>
        <w:rPr>
          <w:rFonts w:cstheme="minorHAnsi"/>
        </w:rPr>
        <w:t>Accatino</w:t>
      </w:r>
      <w:proofErr w:type="spellEnd"/>
      <w:r>
        <w:rPr>
          <w:rFonts w:cstheme="minorHAnsi"/>
        </w:rPr>
        <w:t>, Daniela, and Cath Collins.</w:t>
      </w:r>
      <w:proofErr w:type="gramEnd"/>
      <w:r>
        <w:rPr>
          <w:rFonts w:cstheme="minorHAnsi"/>
        </w:rPr>
        <w:t xml:space="preserve"> “Truth, Evidence, Truth: The Deployment of Testimony, Archives, and Technical Data in Domestic Human Rights Trials.” </w:t>
      </w:r>
      <w:r>
        <w:rPr>
          <w:rFonts w:cstheme="minorHAnsi"/>
          <w:i/>
        </w:rPr>
        <w:t>Journal of Human Rights Practice</w:t>
      </w:r>
      <w:r>
        <w:rPr>
          <w:rFonts w:cstheme="minorHAnsi"/>
        </w:rPr>
        <w:t xml:space="preserve"> 8(2016): 81-100.</w:t>
      </w:r>
    </w:p>
    <w:p w14:paraId="3EBD7FE6" w14:textId="77777777" w:rsidR="00161BC0" w:rsidRDefault="00161BC0" w:rsidP="00710D8E">
      <w:pPr>
        <w:rPr>
          <w:rFonts w:cstheme="minorHAnsi"/>
        </w:rPr>
      </w:pPr>
    </w:p>
    <w:p w14:paraId="7462FCEB" w14:textId="101510CF" w:rsidR="00392E8C" w:rsidRDefault="00392E8C" w:rsidP="00710D8E">
      <w:pPr>
        <w:rPr>
          <w:rFonts w:cstheme="minorHAnsi"/>
        </w:rPr>
      </w:pPr>
      <w:proofErr w:type="spellStart"/>
      <w:r>
        <w:rPr>
          <w:rFonts w:cstheme="minorHAnsi"/>
        </w:rPr>
        <w:t>Ackoff</w:t>
      </w:r>
      <w:proofErr w:type="spellEnd"/>
      <w:r>
        <w:rPr>
          <w:rFonts w:cstheme="minorHAnsi"/>
        </w:rPr>
        <w:t>, R.L</w:t>
      </w:r>
      <w:r>
        <w:rPr>
          <w:rFonts w:cstheme="minorHAnsi"/>
        </w:rPr>
        <w:t xml:space="preserve">. “From Data to Wisdom.” </w:t>
      </w:r>
      <w:r>
        <w:rPr>
          <w:rFonts w:cstheme="minorHAnsi"/>
          <w:i/>
        </w:rPr>
        <w:t xml:space="preserve">Journal of Applied Systems Analysis </w:t>
      </w:r>
      <w:r>
        <w:rPr>
          <w:rFonts w:cstheme="minorHAnsi"/>
        </w:rPr>
        <w:t>16, (1989): 3-9.</w:t>
      </w:r>
    </w:p>
    <w:p w14:paraId="4E16764E" w14:textId="77777777" w:rsidR="00392E8C" w:rsidRDefault="00392E8C" w:rsidP="00392E8C">
      <w:pPr>
        <w:rPr>
          <w:rFonts w:cstheme="minorHAnsi"/>
        </w:rPr>
      </w:pPr>
    </w:p>
    <w:p w14:paraId="75A7DAA0" w14:textId="53CBF33E" w:rsidR="00392E8C" w:rsidRPr="00392E8C" w:rsidRDefault="00392E8C" w:rsidP="002302CC">
      <w:pPr>
        <w:ind w:left="720" w:hanging="720"/>
        <w:rPr>
          <w:rFonts w:cstheme="minorHAnsi"/>
        </w:rPr>
      </w:pPr>
      <w:proofErr w:type="spellStart"/>
      <w:r>
        <w:rPr>
          <w:rFonts w:cstheme="minorHAnsi"/>
        </w:rPr>
        <w:t>Dammann</w:t>
      </w:r>
      <w:proofErr w:type="spellEnd"/>
      <w:r>
        <w:rPr>
          <w:rFonts w:cstheme="minorHAnsi"/>
        </w:rPr>
        <w:t xml:space="preserve">, Olaf. </w:t>
      </w:r>
      <w:proofErr w:type="gramStart"/>
      <w:r>
        <w:rPr>
          <w:rFonts w:cstheme="minorHAnsi"/>
        </w:rPr>
        <w:t>“Data, Information, Evidence, and Knowledge.”</w:t>
      </w:r>
      <w:proofErr w:type="gramEnd"/>
      <w:r>
        <w:rPr>
          <w:rFonts w:cstheme="minorHAnsi"/>
        </w:rPr>
        <w:t xml:space="preserve"> </w:t>
      </w:r>
      <w:r>
        <w:rPr>
          <w:rFonts w:cstheme="minorHAnsi"/>
          <w:i/>
        </w:rPr>
        <w:t xml:space="preserve">Online Journal of Public Health Informatics </w:t>
      </w:r>
      <w:r>
        <w:rPr>
          <w:rFonts w:cstheme="minorHAnsi"/>
        </w:rPr>
        <w:t xml:space="preserve">10(3), </w:t>
      </w:r>
      <w:proofErr w:type="gramStart"/>
      <w:r>
        <w:rPr>
          <w:rFonts w:cstheme="minorHAnsi"/>
        </w:rPr>
        <w:t>e244(</w:t>
      </w:r>
      <w:proofErr w:type="gramEnd"/>
      <w:r>
        <w:rPr>
          <w:rFonts w:cstheme="minorHAnsi"/>
        </w:rPr>
        <w:t xml:space="preserve">2018). </w:t>
      </w:r>
      <w:hyperlink r:id="rId10" w:history="1">
        <w:r w:rsidRPr="00B01B32">
          <w:rPr>
            <w:rStyle w:val="Hyperlink"/>
          </w:rPr>
          <w:t>https://journals.uic.edu/ojs/index.php/ojphi/article/view/9631/7742</w:t>
        </w:r>
      </w:hyperlink>
    </w:p>
    <w:p w14:paraId="437B31C2" w14:textId="77777777" w:rsidR="00392E8C" w:rsidRDefault="00392E8C" w:rsidP="00392E8C">
      <w:pPr>
        <w:rPr>
          <w:rFonts w:cstheme="minorHAnsi"/>
        </w:rPr>
      </w:pPr>
    </w:p>
    <w:p w14:paraId="5C6EC28A" w14:textId="37835C1A" w:rsidR="002302CC" w:rsidRPr="002302CC" w:rsidRDefault="002302CC" w:rsidP="002302CC">
      <w:pPr>
        <w:ind w:left="720" w:hanging="720"/>
        <w:rPr>
          <w:rFonts w:cstheme="minorHAnsi"/>
        </w:rPr>
      </w:pPr>
      <w:proofErr w:type="gramStart"/>
      <w:r>
        <w:rPr>
          <w:rFonts w:cstheme="minorHAnsi"/>
        </w:rPr>
        <w:t xml:space="preserve">Di Giovanni, Adrian and Georgina </w:t>
      </w:r>
      <w:proofErr w:type="spellStart"/>
      <w:r>
        <w:rPr>
          <w:rFonts w:cstheme="minorHAnsi"/>
        </w:rPr>
        <w:t>Cundill</w:t>
      </w:r>
      <w:proofErr w:type="spellEnd"/>
      <w:r>
        <w:rPr>
          <w:rFonts w:cstheme="minorHAnsi"/>
        </w:rPr>
        <w:t>-Kemp.</w:t>
      </w:r>
      <w:proofErr w:type="gramEnd"/>
      <w:r>
        <w:rPr>
          <w:rFonts w:cstheme="minorHAnsi"/>
        </w:rPr>
        <w:t xml:space="preserve"> “Get Ready for Justice to Take </w:t>
      </w:r>
      <w:proofErr w:type="spellStart"/>
      <w:r>
        <w:rPr>
          <w:rFonts w:cstheme="minorHAnsi"/>
        </w:rPr>
        <w:t>Center</w:t>
      </w:r>
      <w:proofErr w:type="spellEnd"/>
      <w:r>
        <w:rPr>
          <w:rFonts w:cstheme="minorHAnsi"/>
        </w:rPr>
        <w:t xml:space="preserve"> Stage in Climate Action.” </w:t>
      </w:r>
      <w:r>
        <w:rPr>
          <w:rFonts w:cstheme="minorHAnsi"/>
          <w:i/>
        </w:rPr>
        <w:t>Medium</w:t>
      </w:r>
      <w:r>
        <w:rPr>
          <w:rFonts w:cstheme="minorHAnsi"/>
        </w:rPr>
        <w:t xml:space="preserve"> (June 30, 2022). </w:t>
      </w:r>
      <w:hyperlink r:id="rId11" w:history="1">
        <w:r w:rsidRPr="00EF50AA">
          <w:rPr>
            <w:rStyle w:val="Hyperlink"/>
          </w:rPr>
          <w:t>https://medium.com/sdg16plus/get-ready-for-justice-to-take-center-stage-in-climate-action-f0f7201db9c</w:t>
        </w:r>
      </w:hyperlink>
      <w:r>
        <w:rPr>
          <w:rStyle w:val="Hyperlink"/>
        </w:rPr>
        <w:t xml:space="preserve"> </w:t>
      </w:r>
    </w:p>
    <w:p w14:paraId="202A14C8" w14:textId="77777777" w:rsidR="002302CC" w:rsidRDefault="002302CC" w:rsidP="00392E8C">
      <w:pPr>
        <w:rPr>
          <w:rFonts w:cstheme="minorHAnsi"/>
        </w:rPr>
      </w:pPr>
    </w:p>
    <w:p w14:paraId="0745E854" w14:textId="60A2C0ED" w:rsidR="00AD7755" w:rsidRDefault="00AD7755" w:rsidP="00AD7755">
      <w:pPr>
        <w:ind w:left="720" w:hanging="720"/>
        <w:rPr>
          <w:rFonts w:cstheme="minorHAnsi"/>
        </w:rPr>
      </w:pPr>
      <w:r>
        <w:rPr>
          <w:rFonts w:cstheme="minorHAnsi"/>
        </w:rPr>
        <w:t xml:space="preserve">Dubberley, Sam, Alexa Koenig, and </w:t>
      </w:r>
      <w:proofErr w:type="spellStart"/>
      <w:r>
        <w:rPr>
          <w:rFonts w:cstheme="minorHAnsi"/>
        </w:rPr>
        <w:t>Daragh</w:t>
      </w:r>
      <w:proofErr w:type="spellEnd"/>
      <w:r>
        <w:rPr>
          <w:rFonts w:cstheme="minorHAnsi"/>
        </w:rPr>
        <w:t xml:space="preserve"> Murray, ed. </w:t>
      </w:r>
      <w:hyperlink r:id="rId12" w:history="1">
        <w:r w:rsidRPr="00041158">
          <w:rPr>
            <w:rStyle w:val="Hyperlink"/>
            <w:i/>
            <w:color w:val="auto"/>
            <w:u w:val="none"/>
          </w:rPr>
          <w:t>Digital Witness: Using Open Source Information for Human Rights Investigation, Documentation, and Accountability</w:t>
        </w:r>
      </w:hyperlink>
      <w:r>
        <w:rPr>
          <w:rStyle w:val="Hyperlink"/>
          <w:color w:val="auto"/>
          <w:u w:val="none"/>
        </w:rPr>
        <w:t xml:space="preserve">. Oxford: </w:t>
      </w:r>
      <w:r>
        <w:t>Oxford University Press, 2019</w:t>
      </w:r>
      <w:r w:rsidRPr="00041158">
        <w:t>.</w:t>
      </w:r>
    </w:p>
    <w:p w14:paraId="1FEE9AC3" w14:textId="77777777" w:rsidR="00AD7755" w:rsidRDefault="00AD7755" w:rsidP="00392E8C">
      <w:pPr>
        <w:rPr>
          <w:rFonts w:cstheme="minorHAnsi"/>
        </w:rPr>
      </w:pPr>
    </w:p>
    <w:p w14:paraId="5B5C17BE" w14:textId="77777777" w:rsidR="00392E8C" w:rsidRPr="00CD4CEA" w:rsidRDefault="00392E8C" w:rsidP="00392E8C">
      <w:pPr>
        <w:rPr>
          <w:rFonts w:cstheme="minorHAnsi"/>
        </w:rPr>
      </w:pPr>
      <w:proofErr w:type="gramStart"/>
      <w:r>
        <w:rPr>
          <w:rFonts w:cstheme="minorHAnsi"/>
        </w:rPr>
        <w:t xml:space="preserve">Dubberley, </w:t>
      </w:r>
      <w:r w:rsidRPr="00CD4CEA">
        <w:rPr>
          <w:rFonts w:cstheme="minorHAnsi"/>
        </w:rPr>
        <w:t xml:space="preserve">Sam and Gabriela </w:t>
      </w:r>
      <w:proofErr w:type="spellStart"/>
      <w:r w:rsidRPr="00CD4CEA">
        <w:rPr>
          <w:rFonts w:cstheme="minorHAnsi"/>
        </w:rPr>
        <w:t>Ivens</w:t>
      </w:r>
      <w:proofErr w:type="spellEnd"/>
      <w:r w:rsidRPr="00CD4CEA">
        <w:rPr>
          <w:rFonts w:cstheme="minorHAnsi"/>
        </w:rPr>
        <w:t>.</w:t>
      </w:r>
      <w:proofErr w:type="gramEnd"/>
      <w:r w:rsidRPr="00CD4CEA">
        <w:rPr>
          <w:rFonts w:cstheme="minorHAnsi"/>
        </w:rPr>
        <w:t xml:space="preserve"> “Outlining </w:t>
      </w:r>
      <w:proofErr w:type="gramStart"/>
      <w:r w:rsidRPr="00CD4CEA">
        <w:rPr>
          <w:rFonts w:cstheme="minorHAnsi"/>
        </w:rPr>
        <w:t>a Human-Rights</w:t>
      </w:r>
      <w:proofErr w:type="gramEnd"/>
      <w:r w:rsidRPr="00CD4CEA">
        <w:rPr>
          <w:rFonts w:cstheme="minorHAnsi"/>
        </w:rPr>
        <w:t xml:space="preserve"> Based Approach to Digital Open </w:t>
      </w:r>
    </w:p>
    <w:p w14:paraId="7707C9E2" w14:textId="77777777" w:rsidR="00392E8C" w:rsidRPr="00CD4CEA" w:rsidRDefault="00392E8C" w:rsidP="00392E8C">
      <w:pPr>
        <w:ind w:left="720"/>
        <w:rPr>
          <w:rFonts w:cstheme="minorHAnsi"/>
        </w:rPr>
      </w:pPr>
      <w:r w:rsidRPr="00CD4CEA">
        <w:rPr>
          <w:rFonts w:cstheme="minorHAnsi"/>
        </w:rPr>
        <w:t xml:space="preserve">Source Investigations: A guide for human rights organisations and open source researchers.” </w:t>
      </w:r>
      <w:r w:rsidRPr="00CD4CEA">
        <w:rPr>
          <w:rFonts w:cstheme="minorHAnsi"/>
          <w:i/>
        </w:rPr>
        <w:t xml:space="preserve">Human Rights, Big Data and Technology Project </w:t>
      </w:r>
      <w:r w:rsidRPr="00CD4CEA">
        <w:rPr>
          <w:rFonts w:cstheme="minorHAnsi"/>
        </w:rPr>
        <w:t xml:space="preserve">(March 2022). </w:t>
      </w:r>
      <w:hyperlink r:id="rId13" w:history="1">
        <w:r w:rsidRPr="00CD4CEA">
          <w:rPr>
            <w:rStyle w:val="Hyperlink"/>
            <w:rFonts w:cstheme="minorHAnsi"/>
          </w:rPr>
          <w:t>http://repository.essex.ac.uk/32642/1/Outlining%20a%20Human-Rights%20Based%20Approach%20to%20Digital%20Open%20Source%20Investigations.pdf</w:t>
        </w:r>
      </w:hyperlink>
    </w:p>
    <w:p w14:paraId="00D8D898" w14:textId="77777777" w:rsidR="00392E8C" w:rsidRDefault="00392E8C" w:rsidP="00392E8C">
      <w:pPr>
        <w:rPr>
          <w:rFonts w:cstheme="minorHAnsi"/>
        </w:rPr>
      </w:pPr>
    </w:p>
    <w:p w14:paraId="395EE835" w14:textId="77777777" w:rsidR="00392E8C" w:rsidRPr="00CD4CEA" w:rsidRDefault="00392E8C" w:rsidP="00392E8C">
      <w:pPr>
        <w:rPr>
          <w:rFonts w:cstheme="minorHAnsi"/>
        </w:rPr>
      </w:pPr>
      <w:proofErr w:type="spellStart"/>
      <w:proofErr w:type="gramStart"/>
      <w:r w:rsidRPr="00CD4CEA">
        <w:rPr>
          <w:rFonts w:cstheme="minorHAnsi"/>
        </w:rPr>
        <w:t>Easterday</w:t>
      </w:r>
      <w:proofErr w:type="spellEnd"/>
      <w:r>
        <w:rPr>
          <w:rFonts w:cstheme="minorHAnsi"/>
        </w:rPr>
        <w:t xml:space="preserve">, </w:t>
      </w:r>
      <w:r w:rsidRPr="00CD4CEA">
        <w:rPr>
          <w:rFonts w:cstheme="minorHAnsi"/>
        </w:rPr>
        <w:t>Jennifer, Jacqueline Geis, and Alexa Koenig.</w:t>
      </w:r>
      <w:proofErr w:type="gramEnd"/>
      <w:r w:rsidRPr="00CD4CEA">
        <w:rPr>
          <w:rFonts w:cstheme="minorHAnsi"/>
        </w:rPr>
        <w:t xml:space="preserve"> “Seven Essential Questions for Ethical War </w:t>
      </w:r>
    </w:p>
    <w:p w14:paraId="08FF095B" w14:textId="77777777" w:rsidR="00392E8C" w:rsidRPr="00CD4CEA" w:rsidRDefault="00392E8C" w:rsidP="00392E8C">
      <w:pPr>
        <w:ind w:left="720"/>
        <w:rPr>
          <w:rFonts w:cstheme="minorHAnsi"/>
        </w:rPr>
      </w:pPr>
      <w:proofErr w:type="gramStart"/>
      <w:r w:rsidRPr="00CD4CEA">
        <w:rPr>
          <w:rFonts w:cstheme="minorHAnsi"/>
        </w:rPr>
        <w:t>Crimes Documentation.”</w:t>
      </w:r>
      <w:proofErr w:type="gramEnd"/>
      <w:r w:rsidRPr="00CD4CEA">
        <w:rPr>
          <w:rFonts w:cstheme="minorHAnsi"/>
        </w:rPr>
        <w:t xml:space="preserve"> </w:t>
      </w:r>
      <w:proofErr w:type="gramStart"/>
      <w:r w:rsidRPr="00CD4CEA">
        <w:rPr>
          <w:rFonts w:cstheme="minorHAnsi"/>
          <w:i/>
        </w:rPr>
        <w:t>Medium.</w:t>
      </w:r>
      <w:proofErr w:type="gramEnd"/>
      <w:r w:rsidRPr="00CD4CEA">
        <w:rPr>
          <w:rFonts w:cstheme="minorHAnsi"/>
        </w:rPr>
        <w:t xml:space="preserve"> 1 June 2022. </w:t>
      </w:r>
      <w:hyperlink r:id="rId14" w:history="1">
        <w:r w:rsidRPr="00CD4CEA">
          <w:rPr>
            <w:rStyle w:val="Hyperlink"/>
            <w:rFonts w:cstheme="minorHAnsi"/>
          </w:rPr>
          <w:t>https://medium.com/humanrightscenter/seven-essential-questions-for-ethical-war-crimes-documentation-6e891f498da6</w:t>
        </w:r>
      </w:hyperlink>
    </w:p>
    <w:p w14:paraId="4C5085AF" w14:textId="77777777" w:rsidR="00940755" w:rsidRDefault="00940755" w:rsidP="00392E8C">
      <w:pPr>
        <w:rPr>
          <w:rFonts w:cstheme="minorHAnsi"/>
        </w:rPr>
      </w:pPr>
    </w:p>
    <w:p w14:paraId="7A7781A6" w14:textId="7942D820" w:rsidR="00940755" w:rsidRDefault="00940755" w:rsidP="00940755">
      <w:pPr>
        <w:ind w:left="720" w:hanging="720"/>
      </w:pPr>
      <w:proofErr w:type="spellStart"/>
      <w:r>
        <w:rPr>
          <w:rFonts w:cstheme="minorHAnsi"/>
        </w:rPr>
        <w:t>Eurojust</w:t>
      </w:r>
      <w:proofErr w:type="spellEnd"/>
      <w:r>
        <w:rPr>
          <w:rFonts w:cstheme="minorHAnsi"/>
        </w:rPr>
        <w:t xml:space="preserve">, </w:t>
      </w:r>
      <w:r w:rsidRPr="00940755">
        <w:rPr>
          <w:rFonts w:cstheme="minorHAnsi"/>
        </w:rPr>
        <w:t xml:space="preserve">EU Network for Investigation and Prosecution of Genocide, Crimes Against Humanity and War Crimes, Office of the Prosecutor of the International Criminal Court. </w:t>
      </w:r>
      <w:r w:rsidRPr="00940755">
        <w:rPr>
          <w:i/>
        </w:rPr>
        <w:t>Documenting International Crimes and Human Rights Violations for Criminal Accountability Purposes: Guidelines for Civil Society Organisations</w:t>
      </w:r>
      <w:r w:rsidRPr="00940755">
        <w:t>. September 2022.</w:t>
      </w:r>
      <w:r>
        <w:t xml:space="preserve"> </w:t>
      </w:r>
      <w:hyperlink r:id="rId15" w:history="1">
        <w:r w:rsidRPr="00371952">
          <w:rPr>
            <w:rStyle w:val="Hyperlink"/>
          </w:rPr>
          <w:t>https://www.eurojust.europa.eu/sites/default/files/assets/eurojust-icc-csos-guidelines.pdf</w:t>
        </w:r>
      </w:hyperlink>
    </w:p>
    <w:p w14:paraId="55B5BB1C" w14:textId="77777777" w:rsidR="00940755" w:rsidRDefault="00940755" w:rsidP="00392E8C">
      <w:pPr>
        <w:rPr>
          <w:rFonts w:cstheme="minorHAnsi"/>
        </w:rPr>
      </w:pPr>
    </w:p>
    <w:p w14:paraId="37AAB4D0" w14:textId="77777777" w:rsidR="00392E8C" w:rsidRPr="00CD4CEA" w:rsidRDefault="00392E8C" w:rsidP="00392E8C">
      <w:pPr>
        <w:rPr>
          <w:rFonts w:cstheme="minorHAnsi"/>
        </w:rPr>
      </w:pPr>
      <w:proofErr w:type="spellStart"/>
      <w:r w:rsidRPr="00CD4CEA">
        <w:rPr>
          <w:rFonts w:cstheme="minorHAnsi"/>
        </w:rPr>
        <w:t>Fiorella</w:t>
      </w:r>
      <w:proofErr w:type="spellEnd"/>
      <w:r>
        <w:rPr>
          <w:rFonts w:cstheme="minorHAnsi"/>
        </w:rPr>
        <w:t xml:space="preserve">, </w:t>
      </w:r>
      <w:r w:rsidRPr="00CD4CEA">
        <w:rPr>
          <w:rFonts w:cstheme="minorHAnsi"/>
        </w:rPr>
        <w:t xml:space="preserve">Giancarlo. “First Steps to Getting Started in Open Source Research.” </w:t>
      </w:r>
      <w:proofErr w:type="spellStart"/>
      <w:r w:rsidRPr="00CD4CEA">
        <w:rPr>
          <w:rFonts w:cstheme="minorHAnsi"/>
          <w:i/>
        </w:rPr>
        <w:t>Bellingcat</w:t>
      </w:r>
      <w:proofErr w:type="spellEnd"/>
      <w:r w:rsidRPr="00CD4CEA">
        <w:rPr>
          <w:rFonts w:cstheme="minorHAnsi"/>
        </w:rPr>
        <w:t xml:space="preserve">, 9 November </w:t>
      </w:r>
    </w:p>
    <w:p w14:paraId="2AE74EA7" w14:textId="77777777" w:rsidR="00392E8C" w:rsidRPr="00CD4CEA" w:rsidRDefault="00392E8C" w:rsidP="00392E8C">
      <w:pPr>
        <w:ind w:left="720"/>
        <w:rPr>
          <w:rFonts w:cstheme="minorHAnsi"/>
        </w:rPr>
      </w:pPr>
      <w:r w:rsidRPr="00CD4CEA">
        <w:rPr>
          <w:rFonts w:cstheme="minorHAnsi"/>
        </w:rPr>
        <w:t xml:space="preserve">2021, </w:t>
      </w:r>
      <w:hyperlink r:id="rId16" w:history="1">
        <w:r w:rsidRPr="00CD4CEA">
          <w:rPr>
            <w:rStyle w:val="Hyperlink"/>
            <w:rFonts w:cstheme="minorHAnsi"/>
          </w:rPr>
          <w:t>https://www.bellingcat.com/resources/2021/11/09/first-steps-to-getting-started-in-open-source-research/</w:t>
        </w:r>
      </w:hyperlink>
      <w:r w:rsidRPr="00CD4CEA">
        <w:rPr>
          <w:rFonts w:cstheme="minorHAnsi"/>
        </w:rPr>
        <w:t xml:space="preserve">  </w:t>
      </w:r>
    </w:p>
    <w:p w14:paraId="06C13443" w14:textId="77777777" w:rsidR="00392E8C" w:rsidRPr="00CD4CEA" w:rsidRDefault="00392E8C" w:rsidP="00392E8C">
      <w:pPr>
        <w:rPr>
          <w:rFonts w:cstheme="minorHAnsi"/>
        </w:rPr>
      </w:pPr>
    </w:p>
    <w:p w14:paraId="3BD6237E" w14:textId="368B90AF" w:rsidR="00AD7755" w:rsidRDefault="00AD7755" w:rsidP="00AD7755">
      <w:pPr>
        <w:ind w:left="720" w:hanging="720"/>
        <w:rPr>
          <w:rFonts w:cstheme="minorHAnsi"/>
        </w:rPr>
      </w:pPr>
      <w:proofErr w:type="gramStart"/>
      <w:r>
        <w:t xml:space="preserve">Higson Smith, </w:t>
      </w:r>
      <w:r>
        <w:t xml:space="preserve">Craig, </w:t>
      </w:r>
      <w:r>
        <w:t xml:space="preserve">Daniel Ó </w:t>
      </w:r>
      <w:proofErr w:type="spellStart"/>
      <w:r>
        <w:t>Cluanaigh</w:t>
      </w:r>
      <w:proofErr w:type="spellEnd"/>
      <w:r>
        <w:t>, A</w:t>
      </w:r>
      <w:r>
        <w:t xml:space="preserve">li G. Ravi, and Peter </w:t>
      </w:r>
      <w:proofErr w:type="spellStart"/>
      <w:r>
        <w:t>Steudtner</w:t>
      </w:r>
      <w:proofErr w:type="spellEnd"/>
      <w:r>
        <w:t>.</w:t>
      </w:r>
      <w:proofErr w:type="gramEnd"/>
      <w:r>
        <w:t xml:space="preserve"> </w:t>
      </w:r>
      <w:r w:rsidRPr="006F6A9B">
        <w:t>“</w:t>
      </w:r>
      <w:r w:rsidRPr="00F17564">
        <w:t>Holistic Security: A Strategy Manual for Human Rights Defenders</w:t>
      </w:r>
      <w:r>
        <w:t>.</w:t>
      </w:r>
      <w:r w:rsidRPr="00F17564">
        <w:t>”</w:t>
      </w:r>
      <w:r>
        <w:t xml:space="preserve"> </w:t>
      </w:r>
      <w:r>
        <w:t>European</w:t>
      </w:r>
      <w:r>
        <w:t xml:space="preserve"> Union and Free Press Unlimited:</w:t>
      </w:r>
      <w:r>
        <w:rPr>
          <w:i/>
        </w:rPr>
        <w:t xml:space="preserve"> </w:t>
      </w:r>
      <w:r>
        <w:t>2016</w:t>
      </w:r>
      <w:r>
        <w:t xml:space="preserve">. </w:t>
      </w:r>
      <w:hyperlink r:id="rId17" w:history="1">
        <w:r w:rsidRPr="00371952">
          <w:rPr>
            <w:rStyle w:val="Hyperlink"/>
          </w:rPr>
          <w:t>https://holistic-security.tacticaltech.org/</w:t>
        </w:r>
      </w:hyperlink>
    </w:p>
    <w:p w14:paraId="211C6F51" w14:textId="77777777" w:rsidR="00AD7755" w:rsidRDefault="00AD7755" w:rsidP="00392E8C">
      <w:pPr>
        <w:rPr>
          <w:rFonts w:cstheme="minorHAnsi"/>
        </w:rPr>
      </w:pPr>
    </w:p>
    <w:p w14:paraId="3CFEAEC7" w14:textId="77777777" w:rsidR="00392E8C" w:rsidRPr="00CD4CEA" w:rsidRDefault="00392E8C" w:rsidP="00392E8C">
      <w:pPr>
        <w:rPr>
          <w:rFonts w:cstheme="minorHAnsi"/>
        </w:rPr>
      </w:pPr>
      <w:proofErr w:type="gramStart"/>
      <w:r w:rsidRPr="00CD4CEA">
        <w:rPr>
          <w:rFonts w:cstheme="minorHAnsi"/>
        </w:rPr>
        <w:t>HURIDOCS.</w:t>
      </w:r>
      <w:proofErr w:type="gramEnd"/>
      <w:r w:rsidRPr="00CD4CEA">
        <w:rPr>
          <w:rFonts w:cstheme="minorHAnsi"/>
        </w:rPr>
        <w:t xml:space="preserve"> </w:t>
      </w:r>
      <w:proofErr w:type="gramStart"/>
      <w:r w:rsidRPr="00CD4CEA">
        <w:rPr>
          <w:rFonts w:cstheme="minorHAnsi"/>
        </w:rPr>
        <w:t>“How to Prepare for a Database.”</w:t>
      </w:r>
      <w:proofErr w:type="gramEnd"/>
      <w:r w:rsidRPr="00CD4CEA">
        <w:rPr>
          <w:rFonts w:cstheme="minorHAnsi"/>
        </w:rPr>
        <w:t xml:space="preserve"> </w:t>
      </w:r>
      <w:proofErr w:type="gramStart"/>
      <w:r w:rsidRPr="00CD4CEA">
        <w:rPr>
          <w:rFonts w:cstheme="minorHAnsi"/>
        </w:rPr>
        <w:t>Accessed June 2021.</w:t>
      </w:r>
      <w:proofErr w:type="gramEnd"/>
      <w:r w:rsidRPr="00CD4CEA">
        <w:rPr>
          <w:rFonts w:cstheme="minorHAnsi"/>
        </w:rPr>
        <w:t xml:space="preserve"> </w:t>
      </w:r>
    </w:p>
    <w:p w14:paraId="1183EA3A" w14:textId="77777777" w:rsidR="00392E8C" w:rsidRPr="00CD4CEA" w:rsidRDefault="00392E8C" w:rsidP="00392E8C">
      <w:pPr>
        <w:ind w:left="720"/>
        <w:rPr>
          <w:rFonts w:cstheme="minorHAnsi"/>
        </w:rPr>
      </w:pPr>
      <w:hyperlink r:id="rId18" w:history="1">
        <w:r w:rsidRPr="00CD4CEA">
          <w:rPr>
            <w:rStyle w:val="Hyperlink"/>
            <w:rFonts w:cstheme="minorHAnsi"/>
          </w:rPr>
          <w:t>https://huridocs.org/resource-library/monitoring-and-documenting-human-rights-violations/how-to-prepare-for-a-database/</w:t>
        </w:r>
      </w:hyperlink>
      <w:r w:rsidRPr="00CD4CEA">
        <w:rPr>
          <w:rFonts w:cstheme="minorHAnsi"/>
        </w:rPr>
        <w:t xml:space="preserve"> </w:t>
      </w:r>
    </w:p>
    <w:p w14:paraId="0CBD760F" w14:textId="77777777" w:rsidR="00392E8C" w:rsidRPr="00CD4CEA" w:rsidRDefault="00392E8C" w:rsidP="00392E8C">
      <w:pPr>
        <w:rPr>
          <w:rFonts w:cstheme="minorHAnsi"/>
        </w:rPr>
      </w:pPr>
    </w:p>
    <w:p w14:paraId="5B66DFC2" w14:textId="77777777" w:rsidR="00392E8C" w:rsidRPr="00CD4CEA" w:rsidRDefault="00392E8C" w:rsidP="00392E8C">
      <w:pPr>
        <w:rPr>
          <w:rFonts w:cstheme="minorHAnsi"/>
        </w:rPr>
      </w:pPr>
      <w:proofErr w:type="gramStart"/>
      <w:r w:rsidRPr="00CD4CEA">
        <w:rPr>
          <w:rFonts w:cstheme="minorHAnsi"/>
        </w:rPr>
        <w:t>International Committee of the Red Cross.</w:t>
      </w:r>
      <w:proofErr w:type="gramEnd"/>
      <w:r w:rsidRPr="00CD4CEA">
        <w:rPr>
          <w:rFonts w:cstheme="minorHAnsi"/>
        </w:rPr>
        <w:t xml:space="preserve"> </w:t>
      </w:r>
      <w:proofErr w:type="gramStart"/>
      <w:r w:rsidRPr="00CD4CEA">
        <w:rPr>
          <w:rFonts w:cstheme="minorHAnsi"/>
        </w:rPr>
        <w:t>“Professional Standards for Protection Work.”</w:t>
      </w:r>
      <w:proofErr w:type="gramEnd"/>
      <w:r w:rsidRPr="00CD4CEA">
        <w:rPr>
          <w:rFonts w:cstheme="minorHAnsi"/>
        </w:rPr>
        <w:t xml:space="preserve"> Accessed </w:t>
      </w:r>
    </w:p>
    <w:p w14:paraId="14A30C2A" w14:textId="77777777" w:rsidR="00392E8C" w:rsidRPr="00CD4CEA" w:rsidRDefault="00392E8C" w:rsidP="00392E8C">
      <w:pPr>
        <w:ind w:left="720"/>
        <w:rPr>
          <w:rFonts w:cstheme="minorHAnsi"/>
        </w:rPr>
      </w:pPr>
      <w:r w:rsidRPr="00CD4CEA">
        <w:rPr>
          <w:rFonts w:cstheme="minorHAnsi"/>
        </w:rPr>
        <w:lastRenderedPageBreak/>
        <w:t xml:space="preserve">June 11 2020. </w:t>
      </w:r>
      <w:hyperlink r:id="rId19" w:history="1">
        <w:r w:rsidRPr="00CD4CEA">
          <w:rPr>
            <w:rStyle w:val="Hyperlink"/>
            <w:rFonts w:cstheme="minorHAnsi"/>
          </w:rPr>
          <w:t>https://www.icrc.org/en/publication/0999-professional-standards-protection-work-carried-out-humanitarian-and-human-rights</w:t>
        </w:r>
      </w:hyperlink>
      <w:r w:rsidRPr="00CD4CEA">
        <w:rPr>
          <w:rFonts w:cstheme="minorHAnsi"/>
        </w:rPr>
        <w:t xml:space="preserve"> </w:t>
      </w:r>
    </w:p>
    <w:p w14:paraId="0D7832A0" w14:textId="77777777" w:rsidR="00392E8C" w:rsidRDefault="00392E8C" w:rsidP="00392E8C">
      <w:pPr>
        <w:rPr>
          <w:rFonts w:cstheme="minorHAnsi"/>
        </w:rPr>
      </w:pPr>
    </w:p>
    <w:p w14:paraId="3E9FB14D" w14:textId="782D335C" w:rsidR="00AD7755" w:rsidRDefault="00AD7755" w:rsidP="00AD7755">
      <w:pPr>
        <w:ind w:left="720" w:hanging="720"/>
        <w:rPr>
          <w:rFonts w:cstheme="minorHAnsi"/>
        </w:rPr>
      </w:pPr>
      <w:proofErr w:type="spellStart"/>
      <w:proofErr w:type="gramStart"/>
      <w:r>
        <w:t>Ivens</w:t>
      </w:r>
      <w:proofErr w:type="spellEnd"/>
      <w:r>
        <w:t>, Gabriela</w:t>
      </w:r>
      <w:r>
        <w:t xml:space="preserve"> and Sam Dubberley</w:t>
      </w:r>
      <w:r>
        <w:t>.</w:t>
      </w:r>
      <w:proofErr w:type="gramEnd"/>
      <w:r>
        <w:t xml:space="preserve"> “The Responsible Open Source Investigations Workbook</w:t>
      </w:r>
      <w:r>
        <w:t>.</w:t>
      </w:r>
      <w:r>
        <w:t xml:space="preserve">” </w:t>
      </w:r>
      <w:hyperlink r:id="rId20" w:history="1">
        <w:r w:rsidRPr="00371952">
          <w:rPr>
            <w:rStyle w:val="Hyperlink"/>
          </w:rPr>
          <w:t>https://docs.google.com/document/d/1U0Yo0PFkOmk-G3myU--taiNN3wrRUkte7LeEtmBbE9c/edit</w:t>
        </w:r>
      </w:hyperlink>
    </w:p>
    <w:p w14:paraId="0F61B8C2" w14:textId="77777777" w:rsidR="00AD7755" w:rsidRDefault="00AD7755" w:rsidP="00392E8C">
      <w:pPr>
        <w:rPr>
          <w:rFonts w:cstheme="minorHAnsi"/>
        </w:rPr>
      </w:pPr>
    </w:p>
    <w:p w14:paraId="2A272BE4" w14:textId="77777777" w:rsidR="00392E8C" w:rsidRPr="00CD4CEA" w:rsidRDefault="00392E8C" w:rsidP="00392E8C">
      <w:pPr>
        <w:rPr>
          <w:rFonts w:cstheme="minorHAnsi"/>
        </w:rPr>
      </w:pPr>
      <w:proofErr w:type="spellStart"/>
      <w:proofErr w:type="gramStart"/>
      <w:r>
        <w:rPr>
          <w:rFonts w:cstheme="minorHAnsi"/>
        </w:rPr>
        <w:t>Mossou</w:t>
      </w:r>
      <w:proofErr w:type="spellEnd"/>
      <w:r>
        <w:rPr>
          <w:rFonts w:cstheme="minorHAnsi"/>
        </w:rPr>
        <w:t xml:space="preserve">, </w:t>
      </w:r>
      <w:proofErr w:type="spellStart"/>
      <w:r w:rsidRPr="00CD4CEA">
        <w:rPr>
          <w:rFonts w:cstheme="minorHAnsi"/>
        </w:rPr>
        <w:t>Annique</w:t>
      </w:r>
      <w:proofErr w:type="spellEnd"/>
      <w:r w:rsidRPr="00CD4CEA">
        <w:rPr>
          <w:rFonts w:cstheme="minorHAnsi"/>
        </w:rPr>
        <w:t xml:space="preserve"> and Ross Higgins.</w:t>
      </w:r>
      <w:proofErr w:type="gramEnd"/>
      <w:r w:rsidRPr="00CD4CEA">
        <w:rPr>
          <w:rFonts w:cstheme="minorHAnsi"/>
        </w:rPr>
        <w:t xml:space="preserve"> </w:t>
      </w:r>
      <w:proofErr w:type="gramStart"/>
      <w:r w:rsidRPr="00CD4CEA">
        <w:rPr>
          <w:rFonts w:cstheme="minorHAnsi"/>
        </w:rPr>
        <w:t>“A Beginner's Guide to Social Media Verification.”</w:t>
      </w:r>
      <w:proofErr w:type="gramEnd"/>
      <w:r w:rsidRPr="00CD4CEA">
        <w:rPr>
          <w:rFonts w:cstheme="minorHAnsi"/>
        </w:rPr>
        <w:t xml:space="preserve"> </w:t>
      </w:r>
      <w:proofErr w:type="spellStart"/>
      <w:r w:rsidRPr="00CD4CEA">
        <w:rPr>
          <w:rFonts w:cstheme="minorHAnsi"/>
          <w:i/>
        </w:rPr>
        <w:t>Bellingcat</w:t>
      </w:r>
      <w:proofErr w:type="spellEnd"/>
      <w:r w:rsidRPr="00CD4CEA">
        <w:rPr>
          <w:rFonts w:cstheme="minorHAnsi"/>
        </w:rPr>
        <w:t xml:space="preserve">, 1 </w:t>
      </w:r>
    </w:p>
    <w:p w14:paraId="3BCB9DF9" w14:textId="77777777" w:rsidR="00392E8C" w:rsidRPr="00CD4CEA" w:rsidRDefault="00392E8C" w:rsidP="00392E8C">
      <w:pPr>
        <w:ind w:left="720"/>
        <w:rPr>
          <w:rFonts w:cstheme="minorHAnsi"/>
        </w:rPr>
      </w:pPr>
      <w:r w:rsidRPr="00CD4CEA">
        <w:rPr>
          <w:rFonts w:cstheme="minorHAnsi"/>
        </w:rPr>
        <w:t xml:space="preserve">November 2021.  </w:t>
      </w:r>
      <w:hyperlink r:id="rId21" w:history="1">
        <w:r w:rsidRPr="00CD4CEA">
          <w:rPr>
            <w:rStyle w:val="Hyperlink"/>
            <w:rFonts w:cstheme="minorHAnsi"/>
          </w:rPr>
          <w:t>https://www.bellingcat.com/resources/2021/11/01/a-beginners-guide-to-social-media-verification/</w:t>
        </w:r>
      </w:hyperlink>
      <w:r w:rsidRPr="00CD4CEA">
        <w:rPr>
          <w:rFonts w:cstheme="minorHAnsi"/>
        </w:rPr>
        <w:t xml:space="preserve"> </w:t>
      </w:r>
    </w:p>
    <w:p w14:paraId="0211C044" w14:textId="77777777" w:rsidR="00392E8C" w:rsidRPr="00CD4CEA" w:rsidRDefault="00392E8C" w:rsidP="00392E8C">
      <w:pPr>
        <w:rPr>
          <w:rFonts w:cstheme="minorHAnsi"/>
        </w:rPr>
      </w:pPr>
    </w:p>
    <w:p w14:paraId="7E09A500" w14:textId="77777777" w:rsidR="00392E8C" w:rsidRPr="00CD4CEA" w:rsidRDefault="00392E8C" w:rsidP="00392E8C">
      <w:pPr>
        <w:rPr>
          <w:rFonts w:cstheme="minorHAnsi"/>
        </w:rPr>
      </w:pPr>
      <w:r w:rsidRPr="00CD4CEA">
        <w:rPr>
          <w:rFonts w:cstheme="minorHAnsi"/>
        </w:rPr>
        <w:t xml:space="preserve">Office of the High Commissioner for Human Rights and the Human Rights </w:t>
      </w:r>
      <w:proofErr w:type="spellStart"/>
      <w:r w:rsidRPr="00CD4CEA">
        <w:rPr>
          <w:rFonts w:cstheme="minorHAnsi"/>
        </w:rPr>
        <w:t>Center</w:t>
      </w:r>
      <w:proofErr w:type="spellEnd"/>
      <w:r w:rsidRPr="00CD4CEA">
        <w:rPr>
          <w:rFonts w:cstheme="minorHAnsi"/>
        </w:rPr>
        <w:t xml:space="preserve"> at the University of </w:t>
      </w:r>
    </w:p>
    <w:p w14:paraId="530BE8F6" w14:textId="77777777" w:rsidR="00392E8C" w:rsidRPr="00CD4CEA" w:rsidRDefault="00392E8C" w:rsidP="00392E8C">
      <w:pPr>
        <w:ind w:left="720"/>
        <w:rPr>
          <w:rFonts w:cstheme="minorHAnsi"/>
        </w:rPr>
      </w:pPr>
      <w:proofErr w:type="gramStart"/>
      <w:r w:rsidRPr="00CD4CEA">
        <w:rPr>
          <w:rFonts w:cstheme="minorHAnsi"/>
        </w:rPr>
        <w:t>California, Berkeley, School of Law.</w:t>
      </w:r>
      <w:proofErr w:type="gramEnd"/>
      <w:r w:rsidRPr="00CD4CEA">
        <w:rPr>
          <w:rFonts w:cstheme="minorHAnsi"/>
        </w:rPr>
        <w:t xml:space="preserve"> “Berkeley Protocol on Digital Open Source Investigations: A Practical Guide on the Effective Use of Digital Open Source and Information in Investigating Violations of International Criminal, Human Rights and Humanitarian Law.” (2022). </w:t>
      </w:r>
      <w:hyperlink r:id="rId22" w:history="1">
        <w:r w:rsidRPr="00CD4CEA">
          <w:rPr>
            <w:rStyle w:val="Hyperlink"/>
            <w:rFonts w:cstheme="minorHAnsi"/>
          </w:rPr>
          <w:t>https://www.ohchr.org/en/publications/policy-and-methodological-publications/berkeley-protocol-digital-open-source</w:t>
        </w:r>
      </w:hyperlink>
      <w:r w:rsidRPr="00CD4CEA">
        <w:rPr>
          <w:rFonts w:cstheme="minorHAnsi"/>
        </w:rPr>
        <w:t xml:space="preserve"> </w:t>
      </w:r>
    </w:p>
    <w:p w14:paraId="5730B161" w14:textId="77777777" w:rsidR="00392E8C" w:rsidRDefault="00392E8C" w:rsidP="00710D8E">
      <w:pPr>
        <w:rPr>
          <w:rFonts w:cstheme="minorHAnsi"/>
        </w:rPr>
      </w:pPr>
    </w:p>
    <w:p w14:paraId="0FFB231D" w14:textId="4D0FCAA0" w:rsidR="00710D8E" w:rsidRPr="00CD4CEA" w:rsidRDefault="00392E8C" w:rsidP="00710D8E">
      <w:pPr>
        <w:rPr>
          <w:rFonts w:cstheme="minorHAnsi"/>
        </w:rPr>
      </w:pPr>
      <w:r w:rsidRPr="00CD4CEA">
        <w:rPr>
          <w:rFonts w:cstheme="minorHAnsi"/>
        </w:rPr>
        <w:t>Parsons</w:t>
      </w:r>
      <w:r>
        <w:rPr>
          <w:rFonts w:cstheme="minorHAnsi"/>
        </w:rPr>
        <w:t xml:space="preserve">, </w:t>
      </w:r>
      <w:r w:rsidR="00710D8E" w:rsidRPr="00CD4CEA">
        <w:rPr>
          <w:rFonts w:cstheme="minorHAnsi"/>
        </w:rPr>
        <w:t xml:space="preserve">Andy. “CAI Achieves Milestone: White Paper Sets the Standard for Content Attribution.” </w:t>
      </w:r>
    </w:p>
    <w:p w14:paraId="307ED1D9" w14:textId="77777777" w:rsidR="00710D8E" w:rsidRPr="00CD4CEA" w:rsidRDefault="00710D8E" w:rsidP="00710D8E">
      <w:pPr>
        <w:ind w:left="720"/>
        <w:rPr>
          <w:rFonts w:cstheme="minorHAnsi"/>
        </w:rPr>
      </w:pPr>
      <w:r w:rsidRPr="00CD4CEA">
        <w:rPr>
          <w:rFonts w:cstheme="minorHAnsi"/>
          <w:i/>
        </w:rPr>
        <w:t>Content Authenticity Initiative,</w:t>
      </w:r>
      <w:r w:rsidRPr="00CD4CEA">
        <w:rPr>
          <w:rFonts w:cstheme="minorHAnsi"/>
        </w:rPr>
        <w:t xml:space="preserve"> August 3 2020, </w:t>
      </w:r>
      <w:hyperlink r:id="rId23" w:history="1">
        <w:r w:rsidRPr="00CD4CEA">
          <w:rPr>
            <w:rStyle w:val="Hyperlink"/>
            <w:rFonts w:cstheme="minorHAnsi"/>
          </w:rPr>
          <w:t>https://contentauthenticity.org/blog?offset=1620244822589</w:t>
        </w:r>
      </w:hyperlink>
      <w:r w:rsidRPr="00CD4CEA">
        <w:rPr>
          <w:rFonts w:cstheme="minorHAnsi"/>
        </w:rPr>
        <w:t xml:space="preserve"> </w:t>
      </w:r>
    </w:p>
    <w:p w14:paraId="3A437705" w14:textId="23CC74C1" w:rsidR="00710D8E" w:rsidRPr="00CD4CEA" w:rsidRDefault="00710D8E" w:rsidP="002774B1">
      <w:pPr>
        <w:rPr>
          <w:rFonts w:cstheme="minorHAnsi"/>
        </w:rPr>
      </w:pPr>
    </w:p>
    <w:p w14:paraId="452327E3" w14:textId="3B956865" w:rsidR="00710D8E" w:rsidRPr="00CD4CEA" w:rsidRDefault="002774B1" w:rsidP="002774B1">
      <w:pPr>
        <w:rPr>
          <w:rFonts w:cstheme="minorHAnsi"/>
        </w:rPr>
      </w:pPr>
      <w:proofErr w:type="gramStart"/>
      <w:r w:rsidRPr="00CD4CEA">
        <w:rPr>
          <w:rFonts w:cstheme="minorHAnsi"/>
        </w:rPr>
        <w:t xml:space="preserve">The </w:t>
      </w:r>
      <w:proofErr w:type="spellStart"/>
      <w:r w:rsidRPr="00CD4CEA">
        <w:rPr>
          <w:rFonts w:cstheme="minorHAnsi"/>
        </w:rPr>
        <w:t>Center</w:t>
      </w:r>
      <w:proofErr w:type="spellEnd"/>
      <w:r w:rsidRPr="00CD4CEA">
        <w:rPr>
          <w:rFonts w:cstheme="minorHAnsi"/>
        </w:rPr>
        <w:t xml:space="preserve"> for Human Rights and Global Justice</w:t>
      </w:r>
      <w:r w:rsidR="00710D8E" w:rsidRPr="00CD4CEA">
        <w:rPr>
          <w:rFonts w:cstheme="minorHAnsi"/>
        </w:rPr>
        <w:t>.</w:t>
      </w:r>
      <w:proofErr w:type="gramEnd"/>
      <w:r w:rsidRPr="00CD4CEA">
        <w:rPr>
          <w:rFonts w:cstheme="minorHAnsi"/>
        </w:rPr>
        <w:t xml:space="preserve"> “Visualization Data for Human Rights Advocacy: A </w:t>
      </w:r>
    </w:p>
    <w:p w14:paraId="506F5B40" w14:textId="48C1F2FA" w:rsidR="002774B1" w:rsidRPr="00CD4CEA" w:rsidRDefault="002774B1" w:rsidP="003D5585">
      <w:pPr>
        <w:ind w:firstLine="720"/>
        <w:rPr>
          <w:rFonts w:cstheme="minorHAnsi"/>
        </w:rPr>
      </w:pPr>
      <w:r w:rsidRPr="00CD4CEA">
        <w:rPr>
          <w:rFonts w:cstheme="minorHAnsi"/>
        </w:rPr>
        <w:t>guidebook and workshop activity</w:t>
      </w:r>
      <w:r w:rsidR="00710D8E" w:rsidRPr="00CD4CEA">
        <w:rPr>
          <w:rFonts w:cstheme="minorHAnsi"/>
        </w:rPr>
        <w:t>.</w:t>
      </w:r>
      <w:r w:rsidRPr="00CD4CEA">
        <w:rPr>
          <w:rFonts w:cstheme="minorHAnsi"/>
        </w:rPr>
        <w:t>” January 2018</w:t>
      </w:r>
      <w:r w:rsidR="00710D8E" w:rsidRPr="00CD4CEA">
        <w:rPr>
          <w:rFonts w:cstheme="minorHAnsi"/>
        </w:rPr>
        <w:t>.</w:t>
      </w:r>
      <w:r w:rsidRPr="00CD4CEA">
        <w:rPr>
          <w:rFonts w:cstheme="minorHAnsi"/>
        </w:rPr>
        <w:t xml:space="preserve"> </w:t>
      </w:r>
      <w:hyperlink r:id="rId24" w:history="1">
        <w:r w:rsidRPr="00CD4CEA">
          <w:rPr>
            <w:rStyle w:val="Hyperlink"/>
            <w:rFonts w:cstheme="minorHAnsi"/>
          </w:rPr>
          <w:t>http://visualizingrights.org/kit/</w:t>
        </w:r>
      </w:hyperlink>
      <w:r w:rsidRPr="00CD4CEA">
        <w:rPr>
          <w:rFonts w:cstheme="minorHAnsi"/>
        </w:rPr>
        <w:t xml:space="preserve">  </w:t>
      </w:r>
    </w:p>
    <w:p w14:paraId="19E40A60" w14:textId="77777777" w:rsidR="002302CC" w:rsidRDefault="002302CC" w:rsidP="002302CC">
      <w:pPr>
        <w:ind w:left="720" w:hanging="720"/>
        <w:rPr>
          <w:rFonts w:cstheme="minorHAnsi"/>
        </w:rPr>
      </w:pPr>
    </w:p>
    <w:p w14:paraId="05BB32AC" w14:textId="076DFD35" w:rsidR="00940755" w:rsidRDefault="00940755" w:rsidP="002302CC">
      <w:pPr>
        <w:ind w:left="720" w:hanging="720"/>
        <w:rPr>
          <w:rFonts w:cstheme="minorHAnsi"/>
        </w:rPr>
      </w:pPr>
      <w:proofErr w:type="gramStart"/>
      <w:r>
        <w:rPr>
          <w:rFonts w:cstheme="minorHAnsi"/>
        </w:rPr>
        <w:t>The Murad Project.</w:t>
      </w:r>
      <w:proofErr w:type="gramEnd"/>
      <w:r>
        <w:rPr>
          <w:rFonts w:cstheme="minorHAnsi"/>
        </w:rPr>
        <w:t xml:space="preserve"> </w:t>
      </w:r>
      <w:r>
        <w:t>“Global Code of Conduct for Gathering and Using Information about Systematic and Conflict-Related Sexual Violence</w:t>
      </w:r>
      <w:r>
        <w:t>.</w:t>
      </w:r>
      <w:r>
        <w:t>”</w:t>
      </w:r>
      <w:r>
        <w:t xml:space="preserve"> </w:t>
      </w:r>
      <w:hyperlink r:id="rId25" w:history="1">
        <w:r w:rsidRPr="00371952">
          <w:rPr>
            <w:rStyle w:val="Hyperlink"/>
          </w:rPr>
          <w:t>https://www.muradcode.com/murad-code</w:t>
        </w:r>
      </w:hyperlink>
      <w:r>
        <w:t xml:space="preserve"> </w:t>
      </w:r>
    </w:p>
    <w:p w14:paraId="7993A109" w14:textId="77777777" w:rsidR="00940755" w:rsidRDefault="00940755" w:rsidP="002302CC">
      <w:pPr>
        <w:ind w:left="720" w:hanging="720"/>
        <w:rPr>
          <w:rFonts w:cstheme="minorHAnsi"/>
        </w:rPr>
      </w:pPr>
    </w:p>
    <w:p w14:paraId="4781593A" w14:textId="2413326E" w:rsidR="00710D8E" w:rsidRDefault="002302CC" w:rsidP="002302CC">
      <w:pPr>
        <w:ind w:left="720" w:hanging="720"/>
        <w:rPr>
          <w:rFonts w:cstheme="minorHAnsi"/>
        </w:rPr>
      </w:pPr>
      <w:proofErr w:type="gramStart"/>
      <w:r>
        <w:rPr>
          <w:rFonts w:cstheme="minorHAnsi"/>
        </w:rPr>
        <w:t>United Nations.</w:t>
      </w:r>
      <w:proofErr w:type="gramEnd"/>
      <w:r>
        <w:rPr>
          <w:rFonts w:cstheme="minorHAnsi"/>
        </w:rPr>
        <w:t xml:space="preserve"> </w:t>
      </w:r>
      <w:r>
        <w:rPr>
          <w:rFonts w:cstheme="minorHAnsi"/>
          <w:i/>
        </w:rPr>
        <w:t>Manual on Human Rights Monitoring (revised edition)</w:t>
      </w:r>
      <w:r>
        <w:rPr>
          <w:rFonts w:cstheme="minorHAnsi"/>
        </w:rPr>
        <w:t xml:space="preserve">. United Nations: New York and Geneva: 2011. </w:t>
      </w:r>
    </w:p>
    <w:p w14:paraId="0F826EDF" w14:textId="77777777" w:rsidR="002302CC" w:rsidRPr="002302CC" w:rsidRDefault="002302CC" w:rsidP="00710D8E">
      <w:pPr>
        <w:rPr>
          <w:rFonts w:cstheme="minorHAnsi"/>
        </w:rPr>
      </w:pPr>
    </w:p>
    <w:p w14:paraId="6EB9D247" w14:textId="49AC13C8" w:rsidR="00710D8E" w:rsidRPr="00CD4CEA" w:rsidRDefault="002774B1" w:rsidP="00710D8E">
      <w:pPr>
        <w:rPr>
          <w:rFonts w:cstheme="minorHAnsi"/>
        </w:rPr>
      </w:pPr>
      <w:r w:rsidRPr="00CD4CEA">
        <w:rPr>
          <w:rFonts w:cstheme="minorHAnsi"/>
        </w:rPr>
        <w:t>United Nations Development Group</w:t>
      </w:r>
      <w:r w:rsidR="00710D8E" w:rsidRPr="00CD4CEA">
        <w:rPr>
          <w:rFonts w:cstheme="minorHAnsi"/>
        </w:rPr>
        <w:t>.</w:t>
      </w:r>
      <w:r w:rsidRPr="00CD4CEA">
        <w:rPr>
          <w:rFonts w:cstheme="minorHAnsi"/>
        </w:rPr>
        <w:t xml:space="preserve"> “UNDAF Companion Guidance: Theory of Change</w:t>
      </w:r>
      <w:r w:rsidR="00710D8E" w:rsidRPr="00CD4CEA">
        <w:rPr>
          <w:rFonts w:cstheme="minorHAnsi"/>
        </w:rPr>
        <w:t>.</w:t>
      </w:r>
      <w:r w:rsidRPr="00CD4CEA">
        <w:rPr>
          <w:rFonts w:cstheme="minorHAnsi"/>
        </w:rPr>
        <w:t>” June 2017</w:t>
      </w:r>
      <w:r w:rsidR="00710D8E" w:rsidRPr="00CD4CEA">
        <w:rPr>
          <w:rFonts w:cstheme="minorHAnsi"/>
        </w:rPr>
        <w:t>.</w:t>
      </w:r>
      <w:r w:rsidRPr="00CD4CEA">
        <w:rPr>
          <w:rFonts w:cstheme="minorHAnsi"/>
        </w:rPr>
        <w:t xml:space="preserve"> </w:t>
      </w:r>
    </w:p>
    <w:p w14:paraId="5B0C8DF3" w14:textId="3990D840" w:rsidR="002774B1" w:rsidRPr="00CD4CEA" w:rsidRDefault="00F17564" w:rsidP="003D5585">
      <w:pPr>
        <w:ind w:firstLine="720"/>
        <w:rPr>
          <w:rFonts w:cstheme="minorHAnsi"/>
        </w:rPr>
      </w:pPr>
      <w:hyperlink r:id="rId26" w:history="1">
        <w:r w:rsidR="00710D8E" w:rsidRPr="00CD4CEA">
          <w:rPr>
            <w:rStyle w:val="Hyperlink"/>
            <w:rFonts w:cstheme="minorHAnsi"/>
          </w:rPr>
          <w:t>https://unsdg.un.org/resources/theory-change-undaf-companion-guidance</w:t>
        </w:r>
      </w:hyperlink>
      <w:r w:rsidR="002774B1" w:rsidRPr="00CD4CEA">
        <w:rPr>
          <w:rFonts w:cstheme="minorHAnsi"/>
        </w:rPr>
        <w:t xml:space="preserve"> </w:t>
      </w:r>
    </w:p>
    <w:p w14:paraId="54255A92" w14:textId="77777777" w:rsidR="00710D8E" w:rsidRPr="00CD4CEA" w:rsidRDefault="00710D8E" w:rsidP="002774B1">
      <w:pPr>
        <w:rPr>
          <w:rFonts w:cstheme="minorHAnsi"/>
        </w:rPr>
      </w:pPr>
    </w:p>
    <w:p w14:paraId="5B106B3E" w14:textId="5B7E60D1" w:rsidR="00041158" w:rsidRDefault="00041158" w:rsidP="002774B1">
      <w:proofErr w:type="gramStart"/>
      <w:r>
        <w:rPr>
          <w:rFonts w:cstheme="minorHAnsi"/>
        </w:rPr>
        <w:t>W</w:t>
      </w:r>
      <w:r w:rsidR="00076F11">
        <w:rPr>
          <w:rFonts w:cstheme="minorHAnsi"/>
        </w:rPr>
        <w:t>ITNESS</w:t>
      </w:r>
      <w:r>
        <w:rPr>
          <w:rFonts w:cstheme="minorHAnsi"/>
        </w:rPr>
        <w:t>.</w:t>
      </w:r>
      <w:proofErr w:type="gramEnd"/>
      <w:r>
        <w:rPr>
          <w:rFonts w:cstheme="minorHAnsi"/>
        </w:rPr>
        <w:t xml:space="preserve"> “</w:t>
      </w:r>
      <w:r>
        <w:t xml:space="preserve">Activists’ Guide to Archiving Video.” </w:t>
      </w:r>
    </w:p>
    <w:p w14:paraId="22B9DEBE" w14:textId="1FEF0649" w:rsidR="00041158" w:rsidRDefault="000D6A7A" w:rsidP="00041158">
      <w:pPr>
        <w:ind w:firstLine="720"/>
        <w:rPr>
          <w:rFonts w:cstheme="minorHAnsi"/>
        </w:rPr>
      </w:pPr>
      <w:hyperlink r:id="rId27" w:history="1">
        <w:r w:rsidR="00041158" w:rsidRPr="00371952">
          <w:rPr>
            <w:rStyle w:val="Hyperlink"/>
          </w:rPr>
          <w:t>https://archiving.witness.org/archive-guide/</w:t>
        </w:r>
      </w:hyperlink>
      <w:r w:rsidR="00041158">
        <w:t>.</w:t>
      </w:r>
    </w:p>
    <w:p w14:paraId="4FA2E7C7" w14:textId="77777777" w:rsidR="00041158" w:rsidRDefault="00041158" w:rsidP="002774B1">
      <w:pPr>
        <w:rPr>
          <w:rFonts w:cstheme="minorHAnsi"/>
        </w:rPr>
      </w:pPr>
    </w:p>
    <w:p w14:paraId="7FDBDAAE" w14:textId="1A5513EF" w:rsidR="00710D8E" w:rsidRPr="00CD4CEA" w:rsidRDefault="00076F11" w:rsidP="002774B1">
      <w:pPr>
        <w:rPr>
          <w:rFonts w:cstheme="minorHAnsi"/>
        </w:rPr>
      </w:pPr>
      <w:proofErr w:type="gramStart"/>
      <w:r w:rsidRPr="00CD4CEA">
        <w:rPr>
          <w:rFonts w:cstheme="minorHAnsi"/>
        </w:rPr>
        <w:t>W</w:t>
      </w:r>
      <w:r>
        <w:rPr>
          <w:rFonts w:cstheme="minorHAnsi"/>
        </w:rPr>
        <w:t>ITNESS</w:t>
      </w:r>
      <w:r w:rsidR="00710D8E" w:rsidRPr="00CD4CEA">
        <w:rPr>
          <w:rFonts w:cstheme="minorHAnsi"/>
        </w:rPr>
        <w:t>.</w:t>
      </w:r>
      <w:proofErr w:type="gramEnd"/>
      <w:r w:rsidR="002774B1" w:rsidRPr="00CD4CEA">
        <w:rPr>
          <w:rFonts w:cstheme="minorHAnsi"/>
        </w:rPr>
        <w:t xml:space="preserve"> “Video Production Basics [multiple entries]</w:t>
      </w:r>
      <w:r w:rsidR="00710D8E" w:rsidRPr="00CD4CEA">
        <w:rPr>
          <w:rFonts w:cstheme="minorHAnsi"/>
        </w:rPr>
        <w:t>.</w:t>
      </w:r>
      <w:r w:rsidR="002774B1" w:rsidRPr="00CD4CEA">
        <w:rPr>
          <w:rFonts w:cstheme="minorHAnsi"/>
        </w:rPr>
        <w:t xml:space="preserve">” </w:t>
      </w:r>
    </w:p>
    <w:p w14:paraId="0BAE8C1B" w14:textId="1DCD0D50" w:rsidR="002774B1" w:rsidRPr="00CD4CEA" w:rsidRDefault="00F17564" w:rsidP="003D5585">
      <w:pPr>
        <w:ind w:firstLine="720"/>
        <w:rPr>
          <w:rFonts w:cstheme="minorHAnsi"/>
        </w:rPr>
      </w:pPr>
      <w:hyperlink r:id="rId28" w:history="1">
        <w:r w:rsidR="00710D8E" w:rsidRPr="00CD4CEA">
          <w:rPr>
            <w:rStyle w:val="Hyperlink"/>
            <w:rFonts w:cstheme="minorHAnsi"/>
          </w:rPr>
          <w:t>https://library.witness.org/product-tag/video-production/</w:t>
        </w:r>
      </w:hyperlink>
      <w:r w:rsidR="002774B1" w:rsidRPr="00CD4CEA">
        <w:rPr>
          <w:rFonts w:cstheme="minorHAnsi"/>
        </w:rPr>
        <w:t xml:space="preserve"> </w:t>
      </w:r>
    </w:p>
    <w:p w14:paraId="42419FB5" w14:textId="77777777" w:rsidR="002774B1" w:rsidRPr="00CD4CEA" w:rsidRDefault="002774B1">
      <w:pPr>
        <w:rPr>
          <w:rFonts w:cstheme="minorHAnsi"/>
        </w:rPr>
      </w:pPr>
    </w:p>
    <w:sectPr w:rsidR="002774B1" w:rsidRPr="00CD4CEA" w:rsidSect="003E7948">
      <w:footerReference w:type="default" r:id="rId2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7623A6" w15:done="0"/>
  <w15:commentEx w15:paraId="00F141EB" w15:done="0"/>
  <w15:commentEx w15:paraId="3005AA92" w15:done="0"/>
  <w15:commentEx w15:paraId="734EBC55" w15:done="0"/>
  <w15:commentEx w15:paraId="08BFEB05" w15:done="0"/>
  <w15:commentEx w15:paraId="0B984DAD" w15:done="0"/>
  <w15:commentEx w15:paraId="4CFFCB5F" w15:done="0"/>
  <w15:commentEx w15:paraId="628B759C" w15:done="0"/>
  <w15:commentEx w15:paraId="705BB68F" w15:done="0"/>
  <w15:commentEx w15:paraId="1772CB75" w15:done="0"/>
  <w15:commentEx w15:paraId="607F473A" w15:done="0"/>
  <w15:commentEx w15:paraId="0A058221" w15:done="0"/>
  <w15:commentEx w15:paraId="7A633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623A6" w16cid:durableId="28237E2D"/>
  <w16cid:commentId w16cid:paraId="00F141EB" w16cid:durableId="28237EA5"/>
  <w16cid:commentId w16cid:paraId="3005AA92" w16cid:durableId="2823800F"/>
  <w16cid:commentId w16cid:paraId="734EBC55" w16cid:durableId="28238059"/>
  <w16cid:commentId w16cid:paraId="08BFEB05" w16cid:durableId="28238309"/>
  <w16cid:commentId w16cid:paraId="0B984DAD" w16cid:durableId="282387A6"/>
  <w16cid:commentId w16cid:paraId="4CFFCB5F" w16cid:durableId="2823882D"/>
  <w16cid:commentId w16cid:paraId="628B759C" w16cid:durableId="28238ADA"/>
  <w16cid:commentId w16cid:paraId="705BB68F" w16cid:durableId="28238C34"/>
  <w16cid:commentId w16cid:paraId="1772CB75" w16cid:durableId="28238C88"/>
  <w16cid:commentId w16cid:paraId="607F473A" w16cid:durableId="28238CD2"/>
  <w16cid:commentId w16cid:paraId="0A058221" w16cid:durableId="28238E9F"/>
  <w16cid:commentId w16cid:paraId="7A63322D" w16cid:durableId="282399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17382" w14:textId="77777777" w:rsidR="000F69DD" w:rsidRDefault="000F69DD" w:rsidP="00A26A0C">
      <w:r>
        <w:separator/>
      </w:r>
    </w:p>
  </w:endnote>
  <w:endnote w:type="continuationSeparator" w:id="0">
    <w:p w14:paraId="379619C6" w14:textId="77777777" w:rsidR="000F69DD" w:rsidRDefault="000F69DD" w:rsidP="00A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733373"/>
      <w:docPartObj>
        <w:docPartGallery w:val="Page Numbers (Bottom of Page)"/>
        <w:docPartUnique/>
      </w:docPartObj>
    </w:sdtPr>
    <w:sdtEndPr>
      <w:rPr>
        <w:noProof/>
      </w:rPr>
    </w:sdtEndPr>
    <w:sdtContent>
      <w:p w14:paraId="26CDE298" w14:textId="5375E201" w:rsidR="00F17564" w:rsidRDefault="00F17564">
        <w:pPr>
          <w:pStyle w:val="Footer"/>
          <w:jc w:val="right"/>
        </w:pPr>
        <w:r>
          <w:fldChar w:fldCharType="begin"/>
        </w:r>
        <w:r>
          <w:instrText xml:space="preserve"> PAGE   \* MERGEFORMAT </w:instrText>
        </w:r>
        <w:r>
          <w:fldChar w:fldCharType="separate"/>
        </w:r>
        <w:r w:rsidR="0022596F">
          <w:rPr>
            <w:noProof/>
          </w:rPr>
          <w:t>22</w:t>
        </w:r>
        <w:r>
          <w:rPr>
            <w:noProof/>
          </w:rPr>
          <w:fldChar w:fldCharType="end"/>
        </w:r>
      </w:p>
    </w:sdtContent>
  </w:sdt>
  <w:p w14:paraId="044073AF" w14:textId="77777777" w:rsidR="00F17564" w:rsidRDefault="00F17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ABACD" w14:textId="77777777" w:rsidR="000F69DD" w:rsidRDefault="000F69DD" w:rsidP="00A26A0C">
      <w:r>
        <w:separator/>
      </w:r>
    </w:p>
  </w:footnote>
  <w:footnote w:type="continuationSeparator" w:id="0">
    <w:p w14:paraId="68E9F444" w14:textId="77777777" w:rsidR="000F69DD" w:rsidRDefault="000F69DD" w:rsidP="00A26A0C">
      <w:r>
        <w:continuationSeparator/>
      </w:r>
    </w:p>
  </w:footnote>
  <w:footnote w:id="1">
    <w:p w14:paraId="2A5C5941" w14:textId="2B216F8E" w:rsidR="00F17564" w:rsidRDefault="00F17564">
      <w:pPr>
        <w:pStyle w:val="FootnoteText"/>
      </w:pPr>
      <w:r>
        <w:rPr>
          <w:rStyle w:val="FootnoteReference"/>
        </w:rPr>
        <w:footnoteRef/>
      </w:r>
      <w:r>
        <w:t xml:space="preserve"> Manuel Guzman and Bert Verstappen, “What is Human Rights Documentation?” </w:t>
      </w:r>
      <w:r w:rsidRPr="003D5585">
        <w:rPr>
          <w:i/>
        </w:rPr>
        <w:t>HURIDOCS</w:t>
      </w:r>
      <w:r>
        <w:t>, (2003): 4 – 6.</w:t>
      </w:r>
    </w:p>
  </w:footnote>
  <w:footnote w:id="2">
    <w:p w14:paraId="33D8EBB4" w14:textId="43B85840" w:rsidR="00F17564" w:rsidRDefault="00F17564">
      <w:pPr>
        <w:pStyle w:val="FootnoteText"/>
      </w:pPr>
      <w:r>
        <w:rPr>
          <w:rStyle w:val="FootnoteReference"/>
        </w:rPr>
        <w:footnoteRef/>
      </w:r>
      <w:r>
        <w:t xml:space="preserve"> “Human Rights Documentation,” Totem, last accessed May 30, 2023, </w:t>
      </w:r>
      <w:hyperlink r:id="rId1" w:history="1">
        <w:r w:rsidRPr="00475B29">
          <w:rPr>
            <w:rStyle w:val="Hyperlink"/>
          </w:rPr>
          <w:t>https://learn.totem-project.org/courses/course-v1:Totem+TP_HRD_EN+001/about</w:t>
        </w:r>
      </w:hyperlink>
      <w:r>
        <w:t xml:space="preserve">.  </w:t>
      </w:r>
    </w:p>
  </w:footnote>
  <w:footnote w:id="3">
    <w:p w14:paraId="23D7311C" w14:textId="1381B028" w:rsidR="00F17564" w:rsidRDefault="00F17564">
      <w:pPr>
        <w:pStyle w:val="FootnoteText"/>
      </w:pPr>
      <w:r>
        <w:rPr>
          <w:rStyle w:val="FootnoteReference"/>
        </w:rPr>
        <w:footnoteRef/>
      </w:r>
      <w:r>
        <w:t xml:space="preserve">R. L. </w:t>
      </w:r>
      <w:proofErr w:type="spellStart"/>
      <w:r>
        <w:t>Ackoff</w:t>
      </w:r>
      <w:proofErr w:type="spellEnd"/>
      <w:r>
        <w:t xml:space="preserve">, “From Data to Wisdom,” </w:t>
      </w:r>
      <w:r w:rsidRPr="003F449B">
        <w:rPr>
          <w:i/>
        </w:rPr>
        <w:t>Journal of Applied Systems Analysis</w:t>
      </w:r>
      <w:r>
        <w:t xml:space="preserve">, 16 (1989): 3-9.  </w:t>
      </w:r>
    </w:p>
  </w:footnote>
  <w:footnote w:id="4">
    <w:p w14:paraId="1183B50C" w14:textId="6CD60260" w:rsidR="00F17564" w:rsidRDefault="00F17564">
      <w:pPr>
        <w:pStyle w:val="FootnoteText"/>
      </w:pPr>
      <w:r>
        <w:rPr>
          <w:rStyle w:val="FootnoteReference"/>
        </w:rPr>
        <w:footnoteRef/>
      </w:r>
      <w:r>
        <w:t xml:space="preserve"> “Olaf </w:t>
      </w:r>
      <w:proofErr w:type="spellStart"/>
      <w:r>
        <w:t>Dammann</w:t>
      </w:r>
      <w:proofErr w:type="spellEnd"/>
      <w:r>
        <w:t xml:space="preserve">,” Faculty, Tufts University School of Medicine, last modified 2023, </w:t>
      </w:r>
      <w:hyperlink r:id="rId2" w:history="1">
        <w:r w:rsidRPr="00204DF8">
          <w:rPr>
            <w:rStyle w:val="Hyperlink"/>
          </w:rPr>
          <w:t>https://medicine.tufts.edu/people/faculty/olaf-dammann</w:t>
        </w:r>
      </w:hyperlink>
      <w:r>
        <w:t xml:space="preserve">. </w:t>
      </w:r>
    </w:p>
  </w:footnote>
  <w:footnote w:id="5">
    <w:p w14:paraId="190EA2A5" w14:textId="317AD76A" w:rsidR="00F17564" w:rsidRDefault="00F17564">
      <w:pPr>
        <w:pStyle w:val="FootnoteText"/>
      </w:pPr>
      <w:r>
        <w:rPr>
          <w:rStyle w:val="FootnoteReference"/>
        </w:rPr>
        <w:footnoteRef/>
      </w:r>
      <w:r>
        <w:t xml:space="preserve"> Olaf </w:t>
      </w:r>
      <w:proofErr w:type="spellStart"/>
      <w:r>
        <w:t>Dammann</w:t>
      </w:r>
      <w:proofErr w:type="spellEnd"/>
      <w:r>
        <w:t xml:space="preserve">, “Data, Information, Evidence, and Knowledge,” </w:t>
      </w:r>
      <w:r w:rsidRPr="003D5585">
        <w:rPr>
          <w:i/>
        </w:rPr>
        <w:t>Online Journal of Public Health Informatics</w:t>
      </w:r>
      <w:r>
        <w:t xml:space="preserve"> 10(3), e224 (2018), </w:t>
      </w:r>
      <w:hyperlink r:id="rId3" w:history="1">
        <w:r w:rsidRPr="00B01B32">
          <w:rPr>
            <w:rStyle w:val="Hyperlink"/>
          </w:rPr>
          <w:t>https://journals.uic.edu/ojs/index.php/ojphi/article/view/9631/7742</w:t>
        </w:r>
      </w:hyperlink>
      <w:r>
        <w:rPr>
          <w:rStyle w:val="Hyperlink"/>
        </w:rPr>
        <w:t>.</w:t>
      </w:r>
      <w:r>
        <w:t xml:space="preserve">  </w:t>
      </w:r>
    </w:p>
  </w:footnote>
  <w:footnote w:id="6">
    <w:p w14:paraId="04C557D8" w14:textId="4A4AE8C3" w:rsidR="00F17564" w:rsidRDefault="00F17564" w:rsidP="00837ABA">
      <w:pPr>
        <w:pStyle w:val="FootnoteText"/>
      </w:pPr>
      <w:r>
        <w:rPr>
          <w:rStyle w:val="FootnoteReference"/>
        </w:rPr>
        <w:footnoteRef/>
      </w:r>
      <w:r>
        <w:t xml:space="preserve"> </w:t>
      </w:r>
      <w:proofErr w:type="spellStart"/>
      <w:r>
        <w:t>Dammann</w:t>
      </w:r>
      <w:proofErr w:type="spellEnd"/>
      <w:r>
        <w:t>, “Data, Information, Evidence, and Knowledge.”</w:t>
      </w:r>
    </w:p>
  </w:footnote>
  <w:footnote w:id="7">
    <w:p w14:paraId="21C79BB7" w14:textId="714FAD9E" w:rsidR="00F17564" w:rsidRPr="009B5346" w:rsidRDefault="00F17564">
      <w:pPr>
        <w:pStyle w:val="FootnoteText"/>
      </w:pPr>
      <w:r>
        <w:rPr>
          <w:rStyle w:val="FootnoteReference"/>
        </w:rPr>
        <w:footnoteRef/>
      </w:r>
      <w:r>
        <w:t xml:space="preserve"> Daniela </w:t>
      </w:r>
      <w:proofErr w:type="spellStart"/>
      <w:r>
        <w:t>Accatino</w:t>
      </w:r>
      <w:proofErr w:type="spellEnd"/>
      <w:r>
        <w:t xml:space="preserve"> and Cath Collins, “Truth, Evidence, Truth: The Deployment of Testimony, Archives, and Technical Data in Domestic Human Rights Trials,” </w:t>
      </w:r>
      <w:r>
        <w:rPr>
          <w:i/>
        </w:rPr>
        <w:t xml:space="preserve">Journal of Human Rights Practice </w:t>
      </w:r>
      <w:r>
        <w:t xml:space="preserve">8 (2016): 81. </w:t>
      </w:r>
    </w:p>
  </w:footnote>
  <w:footnote w:id="8">
    <w:p w14:paraId="01AD6F56" w14:textId="28BDB6A9" w:rsidR="00F17564" w:rsidRPr="003E2797" w:rsidRDefault="00F17564">
      <w:pPr>
        <w:pStyle w:val="FootnoteText"/>
      </w:pPr>
      <w:r>
        <w:rPr>
          <w:rStyle w:val="FootnoteReference"/>
        </w:rPr>
        <w:footnoteRef/>
      </w:r>
      <w:r>
        <w:t xml:space="preserve"> Elizabeth Baumgartner, Brandon </w:t>
      </w:r>
      <w:proofErr w:type="spellStart"/>
      <w:r>
        <w:t>Hamber</w:t>
      </w:r>
      <w:proofErr w:type="spellEnd"/>
      <w:r>
        <w:t xml:space="preserve">, </w:t>
      </w:r>
      <w:proofErr w:type="spellStart"/>
      <w:r>
        <w:t>Briony</w:t>
      </w:r>
      <w:proofErr w:type="spellEnd"/>
      <w:r>
        <w:t xml:space="preserve"> Jones, </w:t>
      </w:r>
      <w:proofErr w:type="spellStart"/>
      <w:r>
        <w:t>Gráinne</w:t>
      </w:r>
      <w:proofErr w:type="spellEnd"/>
      <w:r>
        <w:t xml:space="preserve"> Kelly, and Ingrid Oliveira, “Introduction: Documentation, Human Rights and Transitional Justice,” </w:t>
      </w:r>
      <w:r>
        <w:rPr>
          <w:i/>
        </w:rPr>
        <w:t>Journal of Human Rights Practice</w:t>
      </w:r>
      <w:r>
        <w:t xml:space="preserve"> 8 (2016): 1. </w:t>
      </w:r>
    </w:p>
  </w:footnote>
  <w:footnote w:id="9">
    <w:p w14:paraId="7594DE07" w14:textId="622A64F0" w:rsidR="00F17564" w:rsidRDefault="00F17564">
      <w:pPr>
        <w:pStyle w:val="FootnoteText"/>
      </w:pPr>
      <w:r>
        <w:rPr>
          <w:rStyle w:val="FootnoteReference"/>
        </w:rPr>
        <w:footnoteRef/>
      </w:r>
      <w:r>
        <w:t xml:space="preserve"> T.S. Eliot, </w:t>
      </w:r>
      <w:proofErr w:type="gramStart"/>
      <w:r w:rsidRPr="003F449B">
        <w:rPr>
          <w:i/>
        </w:rPr>
        <w:t>The</w:t>
      </w:r>
      <w:proofErr w:type="gramEnd"/>
      <w:r w:rsidRPr="003F449B">
        <w:rPr>
          <w:i/>
        </w:rPr>
        <w:t xml:space="preserve"> Rock</w:t>
      </w:r>
      <w:r>
        <w:t xml:space="preserve"> (New York: Harcourt, Brace and Company, 1934),</w:t>
      </w:r>
      <w:r w:rsidDel="00232CC4">
        <w:t xml:space="preserve"> </w:t>
      </w:r>
      <w:r>
        <w:t>96.</w:t>
      </w:r>
      <w:hyperlink w:history="1"/>
    </w:p>
  </w:footnote>
  <w:footnote w:id="10">
    <w:p w14:paraId="6B169DB1" w14:textId="0F6F306B" w:rsidR="00F17564" w:rsidRDefault="00F17564">
      <w:pPr>
        <w:pStyle w:val="FootnoteText"/>
      </w:pPr>
      <w:r>
        <w:rPr>
          <w:rStyle w:val="FootnoteReference"/>
        </w:rPr>
        <w:footnoteRef/>
      </w:r>
      <w:r>
        <w:t xml:space="preserve"> “Tech Stack: Definition + 9 Examples from the World’s Top Brands,” </w:t>
      </w:r>
      <w:proofErr w:type="spellStart"/>
      <w:r>
        <w:t>HubSpot</w:t>
      </w:r>
      <w:proofErr w:type="spellEnd"/>
      <w:r>
        <w:t xml:space="preserve">, last updated November 12, 2021, </w:t>
      </w:r>
      <w:hyperlink r:id="rId4" w:history="1">
        <w:r w:rsidRPr="00204DF8">
          <w:rPr>
            <w:rStyle w:val="Hyperlink"/>
          </w:rPr>
          <w:t>https://blog.hubspot.com/customers/auditing-your-companys-tech-stack-or-platform-apps</w:t>
        </w:r>
      </w:hyperlink>
      <w:r>
        <w:t xml:space="preserve">. </w:t>
      </w:r>
    </w:p>
  </w:footnote>
  <w:footnote w:id="11">
    <w:p w14:paraId="5DAC767A" w14:textId="675FEE5D" w:rsidR="00F17564" w:rsidRDefault="00F17564">
      <w:pPr>
        <w:pStyle w:val="FootnoteText"/>
      </w:pPr>
      <w:r>
        <w:rPr>
          <w:rStyle w:val="FootnoteReference"/>
        </w:rPr>
        <w:footnoteRef/>
      </w:r>
      <w:r>
        <w:t xml:space="preserve"> Human Rights </w:t>
      </w:r>
      <w:proofErr w:type="spellStart"/>
      <w:r>
        <w:t>Center</w:t>
      </w:r>
      <w:proofErr w:type="spellEnd"/>
      <w:r>
        <w:t xml:space="preserve"> UC </w:t>
      </w:r>
      <w:proofErr w:type="spellStart"/>
      <w:r>
        <w:t>Berkely</w:t>
      </w:r>
      <w:proofErr w:type="spellEnd"/>
      <w:r>
        <w:t xml:space="preserve"> School of Law, UN OHCHR, “Berkeley Protocol on Digital Open Source Investigations,” (2022), </w:t>
      </w:r>
      <w:hyperlink r:id="rId5" w:history="1">
        <w:r w:rsidRPr="00204DF8">
          <w:rPr>
            <w:rStyle w:val="Hyperlink"/>
          </w:rPr>
          <w:t>https://www.ohchr.org/sites/default/files/2022-04/OHCHR_BerkeleyProtocol.pdf</w:t>
        </w:r>
      </w:hyperlink>
      <w:r>
        <w:t xml:space="preserve">. </w:t>
      </w:r>
    </w:p>
  </w:footnote>
  <w:footnote w:id="12">
    <w:p w14:paraId="3C4A04CE" w14:textId="111547DD" w:rsidR="00F17564" w:rsidRDefault="00F17564">
      <w:pPr>
        <w:pStyle w:val="FootnoteText"/>
      </w:pPr>
      <w:r>
        <w:rPr>
          <w:rStyle w:val="FootnoteReference"/>
        </w:rPr>
        <w:footnoteRef/>
      </w:r>
      <w:r>
        <w:t xml:space="preserve"> “Digital Around the World,” </w:t>
      </w:r>
      <w:proofErr w:type="spellStart"/>
      <w:r>
        <w:t>DataReportal</w:t>
      </w:r>
      <w:proofErr w:type="spellEnd"/>
      <w:r>
        <w:t xml:space="preserve">, last updated October 2022, </w:t>
      </w:r>
      <w:hyperlink r:id="rId6" w:history="1">
        <w:r w:rsidRPr="002D3C69">
          <w:rPr>
            <w:rStyle w:val="Hyperlink"/>
          </w:rPr>
          <w:t>https://datareportal.com/global-digital-overview</w:t>
        </w:r>
      </w:hyperlink>
      <w:r>
        <w:t xml:space="preserve">. </w:t>
      </w:r>
    </w:p>
  </w:footnote>
  <w:footnote w:id="13">
    <w:p w14:paraId="7EA72E8B" w14:textId="37A13B8F" w:rsidR="00F17564" w:rsidRDefault="00F17564">
      <w:pPr>
        <w:pStyle w:val="FootnoteText"/>
      </w:pPr>
      <w:r>
        <w:rPr>
          <w:rStyle w:val="FootnoteReference"/>
        </w:rPr>
        <w:footnoteRef/>
      </w:r>
      <w:r>
        <w:t xml:space="preserve"> “#</w:t>
      </w:r>
      <w:proofErr w:type="spellStart"/>
      <w:r>
        <w:t>KeepItOn</w:t>
      </w:r>
      <w:proofErr w:type="spellEnd"/>
      <w:r>
        <w:t xml:space="preserve">: Frequently Asked Questions,” Access Now, last accessed May 27, 2023, </w:t>
      </w:r>
      <w:hyperlink r:id="rId7" w:history="1">
        <w:r w:rsidRPr="002D3C69">
          <w:rPr>
            <w:rStyle w:val="Hyperlink"/>
          </w:rPr>
          <w:t>https://www.accessnow.org/keepiton-faq/</w:t>
        </w:r>
      </w:hyperlink>
      <w:r>
        <w:t xml:space="preserve">. </w:t>
      </w:r>
    </w:p>
  </w:footnote>
  <w:footnote w:id="14">
    <w:p w14:paraId="6EB19749" w14:textId="3F76A9C0" w:rsidR="00F17564" w:rsidRDefault="00F17564">
      <w:pPr>
        <w:pStyle w:val="FootnoteText"/>
      </w:pPr>
      <w:r>
        <w:rPr>
          <w:rStyle w:val="FootnoteReference"/>
        </w:rPr>
        <w:footnoteRef/>
      </w:r>
      <w:r>
        <w:t xml:space="preserve"> Darrell M. West, “Shutting Down the Internet,” </w:t>
      </w:r>
      <w:r w:rsidRPr="003D5585">
        <w:rPr>
          <w:i/>
        </w:rPr>
        <w:t>Brookings</w:t>
      </w:r>
      <w:r>
        <w:t xml:space="preserve">, February 5, 2021 </w:t>
      </w:r>
      <w:hyperlink r:id="rId8" w:history="1">
        <w:r w:rsidRPr="002D3C69">
          <w:rPr>
            <w:rStyle w:val="Hyperlink"/>
          </w:rPr>
          <w:t>https://www.brookings.edu/blog/techtank/2021/02/05/shutting-down-the-internet/</w:t>
        </w:r>
      </w:hyperlink>
      <w:r>
        <w:t xml:space="preserve">. </w:t>
      </w:r>
    </w:p>
  </w:footnote>
  <w:footnote w:id="15">
    <w:p w14:paraId="1CD00D6C" w14:textId="46863187" w:rsidR="00F17564" w:rsidRDefault="00F17564">
      <w:pPr>
        <w:pStyle w:val="FootnoteText"/>
      </w:pPr>
      <w:r>
        <w:rPr>
          <w:rStyle w:val="FootnoteReference"/>
        </w:rPr>
        <w:footnoteRef/>
      </w:r>
      <w:r>
        <w:t xml:space="preserve"> “Death at the Station: Russian Cluster Munition Attack in Kramatorsk,” Human Rights Watch and SITU Research, last accessed May 30, 2023, </w:t>
      </w:r>
      <w:hyperlink r:id="rId9" w:history="1">
        <w:r w:rsidRPr="00371952">
          <w:rPr>
            <w:rStyle w:val="Hyperlink"/>
          </w:rPr>
          <w:t>https://www.hrw.org/video-photos/interactive/2023/02/21/death-at-the-station/russian-cluster-munition-attack-in-kramatorsk</w:t>
        </w:r>
      </w:hyperlink>
      <w:r>
        <w:t xml:space="preserve">. </w:t>
      </w:r>
    </w:p>
  </w:footnote>
  <w:footnote w:id="16">
    <w:p w14:paraId="02957DE4" w14:textId="3C41C476" w:rsidR="00F17564" w:rsidRDefault="00F17564">
      <w:pPr>
        <w:pStyle w:val="FootnoteText"/>
      </w:pPr>
      <w:r>
        <w:rPr>
          <w:rStyle w:val="FootnoteReference"/>
        </w:rPr>
        <w:footnoteRef/>
      </w:r>
      <w:r>
        <w:t xml:space="preserve"> Axel Boada, Lazaro </w:t>
      </w:r>
      <w:proofErr w:type="spellStart"/>
      <w:r>
        <w:t>Gamio</w:t>
      </w:r>
      <w:proofErr w:type="spellEnd"/>
      <w:r>
        <w:t xml:space="preserve">, Marco Hernandez, Guillermo Hernandez Martinez, Christoph Koettl, Abdi Latif </w:t>
      </w:r>
      <w:proofErr w:type="spellStart"/>
      <w:r>
        <w:t>Dahir</w:t>
      </w:r>
      <w:proofErr w:type="spellEnd"/>
      <w:r>
        <w:t xml:space="preserve">, Lauren </w:t>
      </w:r>
      <w:proofErr w:type="spellStart"/>
      <w:r>
        <w:t>Leatherby</w:t>
      </w:r>
      <w:proofErr w:type="spellEnd"/>
      <w:r>
        <w:t xml:space="preserve">, </w:t>
      </w:r>
      <w:proofErr w:type="spellStart"/>
      <w:r>
        <w:t>Nailah</w:t>
      </w:r>
      <w:proofErr w:type="spellEnd"/>
      <w:r>
        <w:t xml:space="preserve"> Morgan, Scott </w:t>
      </w:r>
      <w:proofErr w:type="spellStart"/>
      <w:r>
        <w:t>Reinhard</w:t>
      </w:r>
      <w:proofErr w:type="spellEnd"/>
      <w:r>
        <w:t xml:space="preserve"> and Declan Walsh, “Tracking the Fighting in Sudan: Maps and Videos,” </w:t>
      </w:r>
      <w:r>
        <w:rPr>
          <w:i/>
        </w:rPr>
        <w:t xml:space="preserve">The New York Times, </w:t>
      </w:r>
      <w:r>
        <w:t xml:space="preserve">April, 17, 2023, last accessed May 30, 2023, </w:t>
      </w:r>
      <w:hyperlink r:id="rId10" w:history="1">
        <w:r w:rsidRPr="00371952">
          <w:rPr>
            <w:rStyle w:val="Hyperlink"/>
          </w:rPr>
          <w:t>https://www.nytimes.com/interactive/2023/04/15/world/africa/sudan-maps-videos.html?searchResultPosition=2</w:t>
        </w:r>
      </w:hyperlink>
      <w:r>
        <w:t xml:space="preserve">. </w:t>
      </w:r>
    </w:p>
  </w:footnote>
  <w:footnote w:id="17">
    <w:p w14:paraId="2E05B10C" w14:textId="7872B449" w:rsidR="00F17564" w:rsidRDefault="00F17564" w:rsidP="00ED1618">
      <w:pPr>
        <w:pStyle w:val="FootnoteText"/>
      </w:pPr>
      <w:r>
        <w:rPr>
          <w:rStyle w:val="FootnoteReference"/>
        </w:rPr>
        <w:footnoteRef/>
      </w:r>
      <w:r>
        <w:t xml:space="preserve"> United Nations, “Monitoring Economic, Social, and Cultural Rights,” in </w:t>
      </w:r>
      <w:r>
        <w:rPr>
          <w:i/>
        </w:rPr>
        <w:t>Manual on Human Rights Monitoring</w:t>
      </w:r>
      <w:r>
        <w:t>, (New York and Geneva, 2011), Chapter 20.</w:t>
      </w:r>
    </w:p>
  </w:footnote>
  <w:footnote w:id="18">
    <w:p w14:paraId="2B65F7FF" w14:textId="678E5A27" w:rsidR="00F17564" w:rsidRPr="00B55270" w:rsidRDefault="00F17564">
      <w:pPr>
        <w:pStyle w:val="FootnoteText"/>
      </w:pPr>
      <w:r>
        <w:rPr>
          <w:rStyle w:val="FootnoteReference"/>
        </w:rPr>
        <w:footnoteRef/>
      </w:r>
      <w:r>
        <w:t xml:space="preserve"> United Nations, </w:t>
      </w:r>
      <w:r w:rsidRPr="003D5585">
        <w:rPr>
          <w:i/>
        </w:rPr>
        <w:t>Manual on Human Rights Monitoring</w:t>
      </w:r>
      <w:r>
        <w:t>, Chapter 20: 26.</w:t>
      </w:r>
    </w:p>
  </w:footnote>
  <w:footnote w:id="19">
    <w:p w14:paraId="01E7B4ED" w14:textId="465B0B8F" w:rsidR="00F17564" w:rsidRDefault="00F17564" w:rsidP="00094BBC">
      <w:pPr>
        <w:pStyle w:val="FootnoteText"/>
      </w:pPr>
      <w:r>
        <w:rPr>
          <w:rStyle w:val="FootnoteReference"/>
        </w:rPr>
        <w:footnoteRef/>
      </w:r>
      <w:r>
        <w:t xml:space="preserve"> Henry Alt-</w:t>
      </w:r>
      <w:proofErr w:type="spellStart"/>
      <w:r>
        <w:t>Haaker</w:t>
      </w:r>
      <w:proofErr w:type="spellEnd"/>
      <w:r>
        <w:t xml:space="preserve">, “Climate Security Is Particularly Conducive To Risk Forecasting,” </w:t>
      </w:r>
      <w:r w:rsidRPr="003D5585">
        <w:rPr>
          <w:i/>
        </w:rPr>
        <w:t xml:space="preserve">Robert Bosch </w:t>
      </w:r>
      <w:proofErr w:type="spellStart"/>
      <w:r w:rsidRPr="003D5585">
        <w:rPr>
          <w:i/>
        </w:rPr>
        <w:t>Stiftung</w:t>
      </w:r>
      <w:proofErr w:type="spellEnd"/>
      <w:r>
        <w:t xml:space="preserve">, last accessed May 30, 2023, </w:t>
      </w:r>
      <w:hyperlink r:id="rId11" w:history="1">
        <w:r w:rsidRPr="00B976E9">
          <w:rPr>
            <w:rStyle w:val="Hyperlink"/>
          </w:rPr>
          <w:t>https://www.bosch-stiftung.de/en/climate-security-particularly-conducive-risk-forecasting</w:t>
        </w:r>
      </w:hyperlink>
      <w:r>
        <w:t xml:space="preserve">. </w:t>
      </w:r>
    </w:p>
  </w:footnote>
  <w:footnote w:id="20">
    <w:p w14:paraId="31149FEC" w14:textId="6FC5AC8A" w:rsidR="00F17564" w:rsidRDefault="00F17564">
      <w:pPr>
        <w:pStyle w:val="FootnoteText"/>
      </w:pPr>
      <w:r>
        <w:rPr>
          <w:rStyle w:val="FootnoteReference"/>
        </w:rPr>
        <w:footnoteRef/>
      </w:r>
      <w:r>
        <w:t xml:space="preserve"> </w:t>
      </w:r>
      <w:r w:rsidRPr="00EF50AA">
        <w:t>Prevention Perspectives</w:t>
      </w:r>
      <w:r>
        <w:t xml:space="preserve">, “Switching the Electricity Off: </w:t>
      </w:r>
      <w:proofErr w:type="spellStart"/>
      <w:r>
        <w:t>Weaponising</w:t>
      </w:r>
      <w:proofErr w:type="spellEnd"/>
      <w:r>
        <w:t xml:space="preserve"> Extreme Heat in Sudan,” </w:t>
      </w:r>
      <w:r w:rsidRPr="003D5585">
        <w:rPr>
          <w:i/>
        </w:rPr>
        <w:t>Protection Approaches</w:t>
      </w:r>
      <w:r>
        <w:t xml:space="preserve">, September 29, 2022, </w:t>
      </w:r>
      <w:hyperlink r:id="rId12" w:history="1">
        <w:r w:rsidRPr="00EF50AA">
          <w:rPr>
            <w:rStyle w:val="Hyperlink"/>
          </w:rPr>
          <w:t>https://protectionapproaches.org/news/f/switching-the-electricity-off-weaponising-extreme-heat-in-sudan</w:t>
        </w:r>
      </w:hyperlink>
      <w:r>
        <w:t xml:space="preserve">. </w:t>
      </w:r>
    </w:p>
  </w:footnote>
  <w:footnote w:id="21">
    <w:p w14:paraId="7F47E092" w14:textId="7196B9BD" w:rsidR="00F17564" w:rsidRDefault="00F17564">
      <w:pPr>
        <w:pStyle w:val="FootnoteText"/>
      </w:pPr>
      <w:r>
        <w:rPr>
          <w:rStyle w:val="FootnoteReference"/>
        </w:rPr>
        <w:footnoteRef/>
      </w:r>
      <w:r>
        <w:t xml:space="preserve"> Adrian Di Giovanni and Georgina </w:t>
      </w:r>
      <w:proofErr w:type="spellStart"/>
      <w:r>
        <w:t>Cundill</w:t>
      </w:r>
      <w:proofErr w:type="spellEnd"/>
      <w:r>
        <w:t xml:space="preserve">-Kemp, “Get Ready for Justice to Take </w:t>
      </w:r>
      <w:proofErr w:type="spellStart"/>
      <w:r>
        <w:t>Center</w:t>
      </w:r>
      <w:proofErr w:type="spellEnd"/>
      <w:r>
        <w:t xml:space="preserve"> Stage in Climate Action,” </w:t>
      </w:r>
      <w:r w:rsidRPr="003D5585">
        <w:rPr>
          <w:i/>
        </w:rPr>
        <w:t>Medium</w:t>
      </w:r>
      <w:r>
        <w:t xml:space="preserve">, June 30, 2022, </w:t>
      </w:r>
      <w:hyperlink r:id="rId13" w:history="1">
        <w:r w:rsidRPr="00EF50AA">
          <w:rPr>
            <w:rStyle w:val="Hyperlink"/>
          </w:rPr>
          <w:t>https://medium.com/sdg16plus/get-ready-for-justice-to-take-center-stage-in-climate-action-f0f7201db9c</w:t>
        </w:r>
      </w:hyperlink>
      <w:r>
        <w:rPr>
          <w:rStyle w:val="Hyperlink"/>
        </w:rPr>
        <w:t>.</w:t>
      </w:r>
    </w:p>
  </w:footnote>
  <w:footnote w:id="22">
    <w:p w14:paraId="14DF13AA" w14:textId="0A7AD405" w:rsidR="00F17564" w:rsidRPr="00BE7905" w:rsidRDefault="00F17564">
      <w:pPr>
        <w:pStyle w:val="FootnoteText"/>
      </w:pPr>
      <w:r>
        <w:rPr>
          <w:rStyle w:val="FootnoteReference"/>
        </w:rPr>
        <w:footnoteRef/>
      </w:r>
      <w:r>
        <w:t xml:space="preserve"> Ulrich </w:t>
      </w:r>
      <w:proofErr w:type="spellStart"/>
      <w:r>
        <w:t>Eberle</w:t>
      </w:r>
      <w:proofErr w:type="spellEnd"/>
      <w:r>
        <w:t xml:space="preserve"> and Alan Boswell, “Floods, Displacement and Violence in South Sudan,” </w:t>
      </w:r>
      <w:r w:rsidRPr="006674D2">
        <w:rPr>
          <w:i/>
        </w:rPr>
        <w:t>International Crisis Group</w:t>
      </w:r>
      <w:r>
        <w:rPr>
          <w:i/>
        </w:rPr>
        <w:t xml:space="preserve">, </w:t>
      </w:r>
      <w:r>
        <w:t xml:space="preserve">last accessed 31 May 2023, </w:t>
      </w:r>
      <w:hyperlink r:id="rId14" w:history="1">
        <w:r w:rsidRPr="00371952">
          <w:rPr>
            <w:rStyle w:val="Hyperlink"/>
          </w:rPr>
          <w:t>https://southsudan.crisisgroup.org/</w:t>
        </w:r>
      </w:hyperlink>
      <w:r>
        <w:t xml:space="preserve">. </w:t>
      </w:r>
    </w:p>
  </w:footnote>
  <w:footnote w:id="23">
    <w:p w14:paraId="6933A821" w14:textId="56AE7623" w:rsidR="00F17564" w:rsidRDefault="00F17564">
      <w:pPr>
        <w:pStyle w:val="FootnoteText"/>
      </w:pPr>
      <w:r>
        <w:rPr>
          <w:rStyle w:val="FootnoteReference"/>
        </w:rPr>
        <w:footnoteRef/>
      </w:r>
      <w:r>
        <w:t xml:space="preserve"> </w:t>
      </w:r>
      <w:proofErr w:type="spellStart"/>
      <w:r>
        <w:t>Videre</w:t>
      </w:r>
      <w:proofErr w:type="spellEnd"/>
      <w:r>
        <w:t xml:space="preserve"> </w:t>
      </w:r>
      <w:proofErr w:type="spellStart"/>
      <w:r>
        <w:t>est</w:t>
      </w:r>
      <w:proofErr w:type="spellEnd"/>
      <w:r>
        <w:t xml:space="preserve"> </w:t>
      </w:r>
      <w:proofErr w:type="spellStart"/>
      <w:r>
        <w:t>Credere</w:t>
      </w:r>
      <w:proofErr w:type="spellEnd"/>
      <w:r>
        <w:t xml:space="preserve"> interview with community activists, 2016. Conversation on file with the author. </w:t>
      </w:r>
    </w:p>
  </w:footnote>
  <w:footnote w:id="24">
    <w:p w14:paraId="037F4EF5" w14:textId="60B0BC59" w:rsidR="00F17564" w:rsidRDefault="00F17564">
      <w:pPr>
        <w:pStyle w:val="FootnoteText"/>
      </w:pPr>
      <w:r>
        <w:rPr>
          <w:rStyle w:val="FootnoteReference"/>
        </w:rPr>
        <w:footnoteRef/>
      </w:r>
      <w:r>
        <w:t xml:space="preserve"> </w:t>
      </w:r>
      <w:proofErr w:type="spellStart"/>
      <w:r>
        <w:t>Nousha</w:t>
      </w:r>
      <w:proofErr w:type="spellEnd"/>
      <w:r>
        <w:t xml:space="preserve"> </w:t>
      </w:r>
      <w:proofErr w:type="spellStart"/>
      <w:r>
        <w:t>Kabawat</w:t>
      </w:r>
      <w:proofErr w:type="spellEnd"/>
      <w:r>
        <w:t xml:space="preserve"> and Fernando </w:t>
      </w:r>
      <w:proofErr w:type="spellStart"/>
      <w:r>
        <w:t>Travesi</w:t>
      </w:r>
      <w:proofErr w:type="spellEnd"/>
      <w:r>
        <w:t xml:space="preserve">, “Justice for Syrian Victims Beyond Trials,” </w:t>
      </w:r>
      <w:r w:rsidRPr="003D5585">
        <w:rPr>
          <w:i/>
        </w:rPr>
        <w:t>ICTJ,</w:t>
      </w:r>
      <w:r>
        <w:t xml:space="preserve"> February 2018, </w:t>
      </w:r>
      <w:hyperlink r:id="rId15" w:history="1">
        <w:r w:rsidRPr="0052413B">
          <w:rPr>
            <w:rStyle w:val="Hyperlink"/>
            <w:rFonts w:ascii="Calibri" w:eastAsia="Times New Roman" w:hAnsi="Calibri"/>
          </w:rPr>
          <w:t>https://www.ictj.org/publication/justice-syrian-victims-beyond-trials-need-new-innovative-uses-documentation-human-rights</w:t>
        </w:r>
      </w:hyperlink>
      <w:r>
        <w:rPr>
          <w:rFonts w:ascii="Calibri" w:eastAsia="Times New Roman" w:hAnsi="Calibri"/>
        </w:rPr>
        <w:t>, 6-7.</w:t>
      </w:r>
    </w:p>
  </w:footnote>
  <w:footnote w:id="25">
    <w:p w14:paraId="4604C1AE" w14:textId="7736810A" w:rsidR="00F17564" w:rsidRDefault="00F17564">
      <w:pPr>
        <w:pStyle w:val="FootnoteText"/>
      </w:pPr>
      <w:r>
        <w:rPr>
          <w:rStyle w:val="FootnoteReference"/>
        </w:rPr>
        <w:footnoteRef/>
      </w:r>
      <w:r>
        <w:t xml:space="preserve"> </w:t>
      </w:r>
      <w:proofErr w:type="spellStart"/>
      <w:r>
        <w:t>Kabawat</w:t>
      </w:r>
      <w:proofErr w:type="spellEnd"/>
      <w:r>
        <w:t xml:space="preserve"> and </w:t>
      </w:r>
      <w:proofErr w:type="spellStart"/>
      <w:r>
        <w:t>Travesi</w:t>
      </w:r>
      <w:proofErr w:type="spellEnd"/>
      <w:r>
        <w:t xml:space="preserve">, “Justice for Syrian Victims,” 6. </w:t>
      </w:r>
    </w:p>
  </w:footnote>
  <w:footnote w:id="26">
    <w:p w14:paraId="5EDA4B84" w14:textId="556E3AB0" w:rsidR="00F17564" w:rsidRPr="00180713" w:rsidRDefault="00F17564">
      <w:pPr>
        <w:pStyle w:val="FootnoteText"/>
      </w:pPr>
      <w:r>
        <w:rPr>
          <w:rStyle w:val="FootnoteReference"/>
        </w:rPr>
        <w:footnoteRef/>
      </w:r>
      <w:r>
        <w:t xml:space="preserve"> </w:t>
      </w:r>
      <w:r w:rsidRPr="00180713">
        <w:t xml:space="preserve">Sara Bradshaw, Program Director, </w:t>
      </w:r>
      <w:r w:rsidRPr="00180713">
        <w:rPr>
          <w:rFonts w:cs="Tahoma"/>
        </w:rPr>
        <w:t xml:space="preserve">International Coalition of Sites of Conscience, Email to Author, April 12, 2023. </w:t>
      </w:r>
    </w:p>
  </w:footnote>
  <w:footnote w:id="27">
    <w:p w14:paraId="4CF7DE1F" w14:textId="752839A5" w:rsidR="00F17564" w:rsidRDefault="00F17564" w:rsidP="00180713">
      <w:pPr>
        <w:rPr>
          <w:color w:val="222222"/>
          <w:sz w:val="19"/>
          <w:szCs w:val="19"/>
        </w:rPr>
      </w:pPr>
      <w:r>
        <w:rPr>
          <w:rStyle w:val="FootnoteReference"/>
        </w:rPr>
        <w:footnoteRef/>
      </w:r>
      <w:r>
        <w:t xml:space="preserve"> </w:t>
      </w:r>
      <w:proofErr w:type="spellStart"/>
      <w:r w:rsidRPr="00180713">
        <w:rPr>
          <w:bCs/>
          <w:color w:val="202124"/>
          <w:sz w:val="20"/>
          <w:szCs w:val="20"/>
        </w:rPr>
        <w:t>Darío</w:t>
      </w:r>
      <w:proofErr w:type="spellEnd"/>
      <w:r w:rsidRPr="00180713">
        <w:rPr>
          <w:bCs/>
          <w:color w:val="202124"/>
          <w:sz w:val="20"/>
          <w:szCs w:val="20"/>
        </w:rPr>
        <w:t xml:space="preserve"> </w:t>
      </w:r>
      <w:proofErr w:type="spellStart"/>
      <w:r w:rsidRPr="00180713">
        <w:rPr>
          <w:bCs/>
          <w:color w:val="202124"/>
          <w:sz w:val="20"/>
          <w:szCs w:val="20"/>
        </w:rPr>
        <w:t>Colmenares</w:t>
      </w:r>
      <w:proofErr w:type="spellEnd"/>
      <w:r w:rsidRPr="00180713">
        <w:rPr>
          <w:bCs/>
          <w:color w:val="202124"/>
          <w:sz w:val="20"/>
          <w:szCs w:val="20"/>
        </w:rPr>
        <w:t xml:space="preserve"> </w:t>
      </w:r>
      <w:proofErr w:type="spellStart"/>
      <w:r w:rsidRPr="00180713">
        <w:rPr>
          <w:bCs/>
          <w:color w:val="202124"/>
          <w:sz w:val="20"/>
          <w:szCs w:val="20"/>
        </w:rPr>
        <w:t>Millán</w:t>
      </w:r>
      <w:proofErr w:type="spellEnd"/>
      <w:r w:rsidRPr="00180713">
        <w:rPr>
          <w:bCs/>
          <w:color w:val="202124"/>
          <w:sz w:val="20"/>
          <w:szCs w:val="20"/>
        </w:rPr>
        <w:t>,</w:t>
      </w:r>
      <w:r w:rsidRPr="00180713">
        <w:rPr>
          <w:sz w:val="20"/>
          <w:szCs w:val="20"/>
        </w:rPr>
        <w:t xml:space="preserve"> Program Director, </w:t>
      </w:r>
      <w:r w:rsidRPr="00180713">
        <w:rPr>
          <w:rFonts w:cs="Tahoma"/>
          <w:sz w:val="20"/>
          <w:szCs w:val="20"/>
        </w:rPr>
        <w:t>International Coalition of Sites of Conscience, Email to Author, April 12, 2023.</w:t>
      </w:r>
    </w:p>
    <w:p w14:paraId="04214FC6" w14:textId="07EA35EB" w:rsidR="00F17564" w:rsidRDefault="00F17564">
      <w:pPr>
        <w:pStyle w:val="FootnoteText"/>
      </w:pPr>
    </w:p>
  </w:footnote>
  <w:footnote w:id="28">
    <w:p w14:paraId="097DB296" w14:textId="34668AAA" w:rsidR="00F17564" w:rsidRDefault="00F17564">
      <w:pPr>
        <w:pStyle w:val="FootnoteText"/>
      </w:pPr>
      <w:r>
        <w:rPr>
          <w:rStyle w:val="FootnoteReference"/>
        </w:rPr>
        <w:footnoteRef/>
      </w:r>
      <w:r>
        <w:t xml:space="preserve"> US Department of </w:t>
      </w:r>
      <w:proofErr w:type="spellStart"/>
      <w:r>
        <w:t>Defense</w:t>
      </w:r>
      <w:proofErr w:type="spellEnd"/>
      <w:r>
        <w:t xml:space="preserve">, </w:t>
      </w:r>
      <w:r>
        <w:rPr>
          <w:i/>
        </w:rPr>
        <w:t xml:space="preserve">Civilian Harm Mitigation and Response </w:t>
      </w:r>
      <w:r w:rsidRPr="00830817">
        <w:rPr>
          <w:i/>
        </w:rPr>
        <w:t>Plan</w:t>
      </w:r>
      <w:r>
        <w:t xml:space="preserve">, August 25, 2022, </w:t>
      </w:r>
      <w:hyperlink r:id="rId16" w:history="1">
        <w:r w:rsidRPr="00371952">
          <w:rPr>
            <w:rStyle w:val="Hyperlink"/>
          </w:rPr>
          <w:t>https://media.defense.gov/2022/Aug/25/2003064740/-1/-1/1/CIVILIAN-HARM-MITIGATION-AND-RESPONSE-ACTION-PLAN.PDF</w:t>
        </w:r>
      </w:hyperlink>
      <w:r>
        <w:t>.</w:t>
      </w:r>
    </w:p>
  </w:footnote>
  <w:footnote w:id="29">
    <w:p w14:paraId="533FFD55" w14:textId="5CE26290" w:rsidR="00F17564" w:rsidRDefault="00F17564">
      <w:pPr>
        <w:pStyle w:val="FootnoteText"/>
      </w:pPr>
      <w:r>
        <w:rPr>
          <w:rStyle w:val="FootnoteReference"/>
        </w:rPr>
        <w:footnoteRef/>
      </w:r>
      <w:r>
        <w:t xml:space="preserve"> “Civil Society Guidance for Civilian Harm Mitigation and Response Plan,” July 2022, </w:t>
      </w:r>
      <w:hyperlink r:id="rId17" w:history="1">
        <w:r w:rsidRPr="00371952">
          <w:rPr>
            <w:rStyle w:val="Hyperlink"/>
          </w:rPr>
          <w:t>https://civiliansinconflict.org/wp-content/uploads/2022/07/Civil-Society-Guidance-for-Civilian-Harm-Mitigation-Response-Action-Plan.pdf</w:t>
        </w:r>
      </w:hyperlink>
      <w:r>
        <w:t>.</w:t>
      </w:r>
    </w:p>
  </w:footnote>
  <w:footnote w:id="30">
    <w:p w14:paraId="4FE085E4" w14:textId="62DF87E3" w:rsidR="00F17564" w:rsidRPr="003D5585" w:rsidRDefault="00F17564">
      <w:pPr>
        <w:pStyle w:val="FootnoteText"/>
        <w:rPr>
          <w:lang w:val="en-US"/>
        </w:rPr>
      </w:pPr>
      <w:r>
        <w:rPr>
          <w:rStyle w:val="FootnoteReference"/>
        </w:rPr>
        <w:footnoteRef/>
      </w:r>
      <w:r>
        <w:t xml:space="preserve"> For more about Insecurity Insight, see </w:t>
      </w:r>
      <w:hyperlink r:id="rId18" w:history="1">
        <w:r w:rsidRPr="00371952">
          <w:rPr>
            <w:rStyle w:val="Hyperlink"/>
          </w:rPr>
          <w:t>http://www.insecurityinsight.org/</w:t>
        </w:r>
      </w:hyperlink>
      <w:r>
        <w:t>.</w:t>
      </w:r>
    </w:p>
  </w:footnote>
  <w:footnote w:id="31">
    <w:p w14:paraId="42EB1F3C" w14:textId="198A5E37" w:rsidR="00F17564" w:rsidRDefault="00F17564">
      <w:pPr>
        <w:pStyle w:val="FootnoteText"/>
      </w:pPr>
      <w:r>
        <w:rPr>
          <w:rStyle w:val="FootnoteReference"/>
        </w:rPr>
        <w:footnoteRef/>
      </w:r>
      <w:r>
        <w:t xml:space="preserve"> For more on the Global Coalition to Protect Education from Attack, see </w:t>
      </w:r>
      <w:hyperlink r:id="rId19" w:history="1">
        <w:r w:rsidRPr="00371952">
          <w:rPr>
            <w:rStyle w:val="Hyperlink"/>
          </w:rPr>
          <w:t>https://protectingeducation.org/</w:t>
        </w:r>
      </w:hyperlink>
      <w:r>
        <w:t xml:space="preserve">. For more on the Safe Schools Declaration, see </w:t>
      </w:r>
      <w:hyperlink r:id="rId20" w:history="1">
        <w:r w:rsidRPr="00371952">
          <w:rPr>
            <w:rStyle w:val="Hyperlink"/>
          </w:rPr>
          <w:t>https://ssd.protectingeducation.org/</w:t>
        </w:r>
      </w:hyperlink>
      <w:r>
        <w:t xml:space="preserve">. </w:t>
      </w:r>
    </w:p>
  </w:footnote>
  <w:footnote w:id="32">
    <w:p w14:paraId="6D1706FA" w14:textId="6B074447" w:rsidR="00F17564" w:rsidRDefault="00F17564">
      <w:pPr>
        <w:pStyle w:val="FootnoteText"/>
      </w:pPr>
      <w:r>
        <w:rPr>
          <w:rStyle w:val="FootnoteReference"/>
        </w:rPr>
        <w:footnoteRef/>
      </w:r>
      <w:r>
        <w:t xml:space="preserve"> For more on Lawyers for Palestinian Human Rights, see </w:t>
      </w:r>
      <w:hyperlink r:id="rId21" w:history="1">
        <w:r w:rsidRPr="00371952">
          <w:rPr>
            <w:rStyle w:val="Hyperlink"/>
          </w:rPr>
          <w:t>https://lphr.org.uk/</w:t>
        </w:r>
      </w:hyperlink>
      <w:r>
        <w:t xml:space="preserve">. For more on the OECD Guidelines for Multinational Enterprises, see </w:t>
      </w:r>
      <w:hyperlink r:id="rId22" w:history="1">
        <w:r w:rsidRPr="00371952">
          <w:rPr>
            <w:rStyle w:val="Hyperlink"/>
          </w:rPr>
          <w:t>http://mneguidelines.oecd.org/guidelines/</w:t>
        </w:r>
      </w:hyperlink>
      <w:r>
        <w:t xml:space="preserve">. </w:t>
      </w:r>
    </w:p>
  </w:footnote>
  <w:footnote w:id="33">
    <w:p w14:paraId="66CE493B" w14:textId="48CE8925" w:rsidR="00F17564" w:rsidRDefault="00F17564">
      <w:pPr>
        <w:pStyle w:val="FootnoteText"/>
      </w:pPr>
      <w:r>
        <w:rPr>
          <w:rStyle w:val="FootnoteReference"/>
        </w:rPr>
        <w:footnoteRef/>
      </w:r>
      <w:r>
        <w:t xml:space="preserve"> Lawyers for Palestinian Human Rights, “Complaint regarding the involvement of JCB in human rights breeches in the occupied Palestinian territory,” December 10, 2019, </w:t>
      </w:r>
      <w:hyperlink r:id="rId23" w:history="1">
        <w:r w:rsidRPr="00371952">
          <w:rPr>
            <w:rStyle w:val="Hyperlink"/>
          </w:rPr>
          <w:t>https://lphr.org.uk/wp-content/uploads/2019/12/Complaint-regarding-the-involvement-of-JCB-in-human-rights-breaches-in-the-occupied-Palestinian-territory-raised-by-LPHR-FINAL.pdf</w:t>
        </w:r>
      </w:hyperlink>
      <w:r>
        <w:t>.</w:t>
      </w:r>
    </w:p>
  </w:footnote>
  <w:footnote w:id="34">
    <w:p w14:paraId="06F36AC4" w14:textId="077D6D7B" w:rsidR="00F17564" w:rsidRDefault="00F17564">
      <w:pPr>
        <w:pStyle w:val="FootnoteText"/>
      </w:pPr>
      <w:r>
        <w:rPr>
          <w:rStyle w:val="FootnoteReference"/>
        </w:rPr>
        <w:footnoteRef/>
      </w:r>
      <w:r>
        <w:t xml:space="preserve"> UK National Contact Point, “Final Statement: Lawyers for Palestinian Human Rights complaint to UK NCP about JCB,” November 12, 2021, </w:t>
      </w:r>
      <w:hyperlink r:id="rId24" w:history="1">
        <w:r w:rsidRPr="00371952">
          <w:rPr>
            <w:rStyle w:val="Hyperlink"/>
          </w:rPr>
          <w:t>https://www.gov.uk/government/publications/lawyers-for-palestinian-human-rights-complaint-to-uk-ncp-about-jcb/final-statement-lawyers-for-palestinian-human-rights-complaint-to-uk-ncp-about-jcb</w:t>
        </w:r>
      </w:hyperlink>
      <w:r>
        <w:t xml:space="preserve">.  </w:t>
      </w:r>
    </w:p>
  </w:footnote>
  <w:footnote w:id="35">
    <w:p w14:paraId="3F86FE49" w14:textId="2E695DE5" w:rsidR="00F17564" w:rsidRDefault="00F17564">
      <w:pPr>
        <w:pStyle w:val="FootnoteText"/>
      </w:pPr>
      <w:r>
        <w:rPr>
          <w:rStyle w:val="FootnoteReference"/>
        </w:rPr>
        <w:footnoteRef/>
      </w:r>
      <w:r>
        <w:t xml:space="preserve"> </w:t>
      </w:r>
      <w:proofErr w:type="spellStart"/>
      <w:r>
        <w:t>Maaike</w:t>
      </w:r>
      <w:proofErr w:type="spellEnd"/>
      <w:r>
        <w:t xml:space="preserve"> </w:t>
      </w:r>
      <w:proofErr w:type="spellStart"/>
      <w:r>
        <w:t>Matelski</w:t>
      </w:r>
      <w:proofErr w:type="spellEnd"/>
      <w:r>
        <w:t xml:space="preserve">, Rachel Dijkstra, and Brianne </w:t>
      </w:r>
      <w:proofErr w:type="spellStart"/>
      <w:r>
        <w:t>McGonigle</w:t>
      </w:r>
      <w:proofErr w:type="spellEnd"/>
      <w:r>
        <w:t xml:space="preserve"> </w:t>
      </w:r>
      <w:proofErr w:type="spellStart"/>
      <w:r>
        <w:t>Leyh</w:t>
      </w:r>
      <w:proofErr w:type="spellEnd"/>
      <w:r>
        <w:t xml:space="preserve">, “Multi-Layered Civil Society Documentation of Human Rights Violations in Myanmar,” </w:t>
      </w:r>
      <w:r w:rsidRPr="003F449B">
        <w:rPr>
          <w:i/>
        </w:rPr>
        <w:t>Journal of Human Rights Practice</w:t>
      </w:r>
      <w:r>
        <w:t xml:space="preserve"> 14, no. 3, (November 2022): 794-818. </w:t>
      </w:r>
      <w:hyperlink r:id="rId25" w:anchor="372952051" w:history="1">
        <w:r w:rsidRPr="00DF66B1">
          <w:rPr>
            <w:rStyle w:val="Hyperlink"/>
          </w:rPr>
          <w:t>https://academic.oup.com/jhrp/advance-article/doi/10.1093/jhuman/huac031/6700810#372952051</w:t>
        </w:r>
      </w:hyperlink>
      <w:r>
        <w:rPr>
          <w:rStyle w:val="Hyperlink"/>
        </w:rPr>
        <w:t>.</w:t>
      </w:r>
      <w:r>
        <w:t xml:space="preserve"> </w:t>
      </w:r>
    </w:p>
  </w:footnote>
  <w:footnote w:id="36">
    <w:p w14:paraId="2FB5D9C7" w14:textId="73EC211A" w:rsidR="00F17564" w:rsidRDefault="00F17564">
      <w:pPr>
        <w:pStyle w:val="FootnoteText"/>
      </w:pPr>
      <w:r>
        <w:rPr>
          <w:rStyle w:val="FootnoteReference"/>
        </w:rPr>
        <w:footnoteRef/>
      </w:r>
      <w:r>
        <w:t xml:space="preserve"> David </w:t>
      </w:r>
      <w:proofErr w:type="spellStart"/>
      <w:r>
        <w:t>McKittrick</w:t>
      </w:r>
      <w:proofErr w:type="spellEnd"/>
      <w:r>
        <w:t xml:space="preserve">, Seamus </w:t>
      </w:r>
      <w:proofErr w:type="spellStart"/>
      <w:r>
        <w:t>Kelters</w:t>
      </w:r>
      <w:proofErr w:type="spellEnd"/>
      <w:r>
        <w:t xml:space="preserve">, Brian Feeney, and Chris Thornton, </w:t>
      </w:r>
      <w:r w:rsidRPr="003F449B">
        <w:rPr>
          <w:i/>
        </w:rPr>
        <w:t>Lost Lives</w:t>
      </w:r>
      <w:r>
        <w:t xml:space="preserve"> (Edinburgh: Mainstream Publishing Company Ltd). </w:t>
      </w:r>
    </w:p>
  </w:footnote>
  <w:footnote w:id="37">
    <w:p w14:paraId="315C2E19" w14:textId="77777777" w:rsidR="00F17564" w:rsidRDefault="00F17564" w:rsidP="005B5F78">
      <w:pPr>
        <w:pStyle w:val="FootnoteText"/>
      </w:pPr>
      <w:r>
        <w:rPr>
          <w:rStyle w:val="FootnoteReference"/>
        </w:rPr>
        <w:footnoteRef/>
      </w:r>
      <w:r>
        <w:t xml:space="preserve"> Chris Thornton, “Lost Lives: An Egalitarian ‘Monument to the Dead,’” </w:t>
      </w:r>
      <w:r w:rsidRPr="003F449B">
        <w:rPr>
          <w:i/>
        </w:rPr>
        <w:t>BBC</w:t>
      </w:r>
      <w:r>
        <w:t xml:space="preserve">, February 15, 2020, </w:t>
      </w:r>
      <w:hyperlink r:id="rId26" w:history="1">
        <w:r w:rsidRPr="00305AA0">
          <w:rPr>
            <w:rStyle w:val="Hyperlink"/>
          </w:rPr>
          <w:t>https://www.bbc.com/news/uk-northern-ireland-51480198</w:t>
        </w:r>
      </w:hyperlink>
      <w:r>
        <w:t xml:space="preserve">. </w:t>
      </w:r>
    </w:p>
  </w:footnote>
  <w:footnote w:id="38">
    <w:p w14:paraId="3CDEC4E0" w14:textId="092D374F" w:rsidR="00F17564" w:rsidRDefault="00F17564">
      <w:pPr>
        <w:pStyle w:val="FootnoteText"/>
      </w:pPr>
      <w:r>
        <w:rPr>
          <w:rStyle w:val="FootnoteReference"/>
        </w:rPr>
        <w:footnoteRef/>
      </w:r>
      <w:r>
        <w:t xml:space="preserve"> Marie O’Halloran, “Government Considers Buying Rights to Book Chronicling 3,700 Deaths in Troubles,” </w:t>
      </w:r>
      <w:r w:rsidRPr="003F449B">
        <w:rPr>
          <w:i/>
        </w:rPr>
        <w:t>The Irish Times</w:t>
      </w:r>
      <w:r>
        <w:t xml:space="preserve">, December 12, 2020. </w:t>
      </w:r>
      <w:r w:rsidRPr="008D06E7">
        <w:t>https://www.irishtimes.com/news/politics/government-considers-buying-rights-to-book-chronicling-3-700-deaths-in-troubles-1.4434340</w:t>
      </w:r>
      <w:r>
        <w:t>.</w:t>
      </w:r>
    </w:p>
  </w:footnote>
  <w:footnote w:id="39">
    <w:p w14:paraId="6067232D" w14:textId="26AF7D29" w:rsidR="00F17564" w:rsidRDefault="00F17564">
      <w:pPr>
        <w:pStyle w:val="FootnoteText"/>
      </w:pPr>
      <w:r>
        <w:rPr>
          <w:rStyle w:val="FootnoteReference"/>
        </w:rPr>
        <w:footnoteRef/>
      </w:r>
      <w:r>
        <w:t xml:space="preserve"> David Young, “’Lost Lives’ Authors Do Not Want Book Reprinted,” </w:t>
      </w:r>
      <w:r w:rsidRPr="003F449B">
        <w:rPr>
          <w:i/>
        </w:rPr>
        <w:t>Belfast Telegraph</w:t>
      </w:r>
      <w:r>
        <w:t xml:space="preserve">, December 14, 2020, </w:t>
      </w:r>
      <w:hyperlink r:id="rId27" w:history="1">
        <w:r w:rsidRPr="00305AA0">
          <w:rPr>
            <w:rStyle w:val="Hyperlink"/>
          </w:rPr>
          <w:t>https://www.belfasttelegraph.co.uk/news/politics/lost-lives-authors-do-not-want-book-reprinted/39859151.html</w:t>
        </w:r>
      </w:hyperlink>
      <w:r>
        <w:t xml:space="preserve">. </w:t>
      </w:r>
    </w:p>
  </w:footnote>
  <w:footnote w:id="40">
    <w:p w14:paraId="0AEAD4E3" w14:textId="1322BE3F" w:rsidR="00F17564" w:rsidRDefault="00F17564">
      <w:pPr>
        <w:pStyle w:val="FootnoteText"/>
      </w:pPr>
      <w:r>
        <w:rPr>
          <w:rStyle w:val="FootnoteReference"/>
        </w:rPr>
        <w:footnoteRef/>
      </w:r>
      <w:r>
        <w:t xml:space="preserve"> For more on Memoria </w:t>
      </w:r>
      <w:proofErr w:type="spellStart"/>
      <w:r>
        <w:t>Abierta</w:t>
      </w:r>
      <w:proofErr w:type="spellEnd"/>
      <w:r>
        <w:t xml:space="preserve">, see </w:t>
      </w:r>
      <w:hyperlink r:id="rId28" w:history="1">
        <w:r w:rsidRPr="00371952">
          <w:rPr>
            <w:rStyle w:val="Hyperlink"/>
          </w:rPr>
          <w:t>https://memoriaabierta.org.ar/wp/en/about-memoria-abierta/</w:t>
        </w:r>
      </w:hyperlink>
      <w:r>
        <w:t xml:space="preserve">. </w:t>
      </w:r>
    </w:p>
  </w:footnote>
  <w:footnote w:id="41">
    <w:p w14:paraId="4FD8EAF3" w14:textId="647A78EF" w:rsidR="00F17564" w:rsidRPr="0072451F" w:rsidRDefault="00F17564" w:rsidP="0072451F">
      <w:pPr>
        <w:pStyle w:val="Heading1"/>
        <w:rPr>
          <w:rFonts w:asciiTheme="minorHAnsi" w:hAnsiTheme="minorHAnsi"/>
          <w:b w:val="0"/>
          <w:color w:val="auto"/>
          <w:sz w:val="20"/>
          <w:szCs w:val="20"/>
        </w:rPr>
      </w:pPr>
      <w:r w:rsidRPr="0072451F">
        <w:rPr>
          <w:rStyle w:val="FootnoteReference"/>
          <w:rFonts w:asciiTheme="minorHAnsi" w:hAnsiTheme="minorHAnsi"/>
          <w:b w:val="0"/>
          <w:color w:val="auto"/>
          <w:sz w:val="20"/>
          <w:szCs w:val="20"/>
        </w:rPr>
        <w:footnoteRef/>
      </w:r>
      <w:r w:rsidRPr="0072451F">
        <w:rPr>
          <w:rFonts w:asciiTheme="minorHAnsi" w:hAnsiTheme="minorHAnsi"/>
          <w:b w:val="0"/>
          <w:color w:val="auto"/>
          <w:sz w:val="20"/>
          <w:szCs w:val="20"/>
        </w:rPr>
        <w:t xml:space="preserve"> Lyse </w:t>
      </w:r>
      <w:proofErr w:type="spellStart"/>
      <w:r w:rsidRPr="0072451F">
        <w:rPr>
          <w:rFonts w:asciiTheme="minorHAnsi" w:hAnsiTheme="minorHAnsi"/>
          <w:b w:val="0"/>
          <w:color w:val="auto"/>
          <w:sz w:val="20"/>
          <w:szCs w:val="20"/>
        </w:rPr>
        <w:t>Doucet</w:t>
      </w:r>
      <w:proofErr w:type="spellEnd"/>
      <w:r w:rsidRPr="0072451F">
        <w:rPr>
          <w:rFonts w:asciiTheme="minorHAnsi" w:hAnsiTheme="minorHAnsi"/>
          <w:b w:val="0"/>
          <w:color w:val="auto"/>
          <w:sz w:val="20"/>
          <w:szCs w:val="20"/>
        </w:rPr>
        <w:t>,”</w:t>
      </w:r>
      <w:r w:rsidRPr="0072451F">
        <w:rPr>
          <w:rStyle w:val="CommentReference"/>
          <w:rFonts w:asciiTheme="minorHAnsi" w:hAnsiTheme="minorHAnsi"/>
          <w:b w:val="0"/>
          <w:color w:val="auto"/>
          <w:sz w:val="20"/>
          <w:szCs w:val="20"/>
        </w:rPr>
        <w:t xml:space="preserve"> </w:t>
      </w:r>
      <w:r w:rsidRPr="0072451F">
        <w:rPr>
          <w:rStyle w:val="field-wrapper"/>
          <w:rFonts w:asciiTheme="minorHAnsi" w:hAnsiTheme="minorHAnsi"/>
          <w:b w:val="0"/>
          <w:color w:val="auto"/>
          <w:sz w:val="20"/>
          <w:szCs w:val="20"/>
        </w:rPr>
        <w:t>Syria &amp; the CNN Effect: What Role Does the Media Play in Policy-Making</w:t>
      </w:r>
      <w:proofErr w:type="gramStart"/>
      <w:r w:rsidRPr="0072451F">
        <w:rPr>
          <w:rStyle w:val="field-wrapper"/>
          <w:rFonts w:asciiTheme="minorHAnsi" w:hAnsiTheme="minorHAnsi"/>
          <w:b w:val="0"/>
          <w:color w:val="auto"/>
          <w:sz w:val="20"/>
          <w:szCs w:val="20"/>
        </w:rPr>
        <w:t>?,</w:t>
      </w:r>
      <w:proofErr w:type="gramEnd"/>
      <w:r w:rsidRPr="0072451F">
        <w:rPr>
          <w:rStyle w:val="field-wrapper"/>
          <w:rFonts w:asciiTheme="minorHAnsi" w:hAnsiTheme="minorHAnsi"/>
          <w:b w:val="0"/>
          <w:color w:val="auto"/>
          <w:sz w:val="20"/>
          <w:szCs w:val="20"/>
        </w:rPr>
        <w:t xml:space="preserve"> </w:t>
      </w:r>
      <w:proofErr w:type="spellStart"/>
      <w:r w:rsidRPr="0072451F">
        <w:rPr>
          <w:rStyle w:val="field-wrapper"/>
          <w:rFonts w:asciiTheme="minorHAnsi" w:hAnsiTheme="minorHAnsi"/>
          <w:b w:val="0"/>
          <w:i/>
          <w:color w:val="auto"/>
          <w:sz w:val="20"/>
          <w:szCs w:val="20"/>
        </w:rPr>
        <w:t>Dædalus</w:t>
      </w:r>
      <w:proofErr w:type="spellEnd"/>
      <w:r w:rsidRPr="0072451F">
        <w:rPr>
          <w:rFonts w:asciiTheme="minorHAnsi" w:hAnsiTheme="minorHAnsi"/>
          <w:b w:val="0"/>
          <w:color w:val="auto"/>
          <w:sz w:val="20"/>
          <w:szCs w:val="20"/>
        </w:rPr>
        <w:t xml:space="preserve"> </w:t>
      </w:r>
      <w:r>
        <w:rPr>
          <w:rFonts w:asciiTheme="minorHAnsi" w:hAnsiTheme="minorHAnsi"/>
          <w:b w:val="0"/>
          <w:color w:val="auto"/>
          <w:sz w:val="20"/>
          <w:szCs w:val="20"/>
        </w:rPr>
        <w:t>(</w:t>
      </w:r>
      <w:r w:rsidRPr="0072451F">
        <w:rPr>
          <w:rFonts w:asciiTheme="minorHAnsi" w:hAnsiTheme="minorHAnsi"/>
          <w:b w:val="0"/>
          <w:color w:val="auto"/>
          <w:sz w:val="20"/>
          <w:szCs w:val="20"/>
        </w:rPr>
        <w:t>Winter 2018</w:t>
      </w:r>
      <w:r>
        <w:rPr>
          <w:rFonts w:asciiTheme="minorHAnsi" w:hAnsiTheme="minorHAnsi"/>
          <w:b w:val="0"/>
          <w:color w:val="auto"/>
          <w:sz w:val="20"/>
          <w:szCs w:val="20"/>
        </w:rPr>
        <w:t>): 141-157</w:t>
      </w:r>
      <w:r w:rsidRPr="0072451F">
        <w:rPr>
          <w:rFonts w:asciiTheme="minorHAnsi" w:hAnsiTheme="minorHAnsi"/>
          <w:b w:val="0"/>
          <w:color w:val="auto"/>
          <w:sz w:val="20"/>
          <w:szCs w:val="20"/>
        </w:rPr>
        <w:t xml:space="preserve">, </w:t>
      </w:r>
      <w:hyperlink r:id="rId29" w:history="1">
        <w:r w:rsidRPr="00371952">
          <w:rPr>
            <w:rStyle w:val="Hyperlink"/>
            <w:rFonts w:asciiTheme="minorHAnsi" w:hAnsiTheme="minorHAnsi"/>
            <w:b w:val="0"/>
            <w:sz w:val="20"/>
            <w:szCs w:val="20"/>
          </w:rPr>
          <w:t>https://www.amacad.org/sites/default/files/publication/downloads/13_Doucet.pdf</w:t>
        </w:r>
      </w:hyperlink>
      <w:r>
        <w:rPr>
          <w:rFonts w:asciiTheme="minorHAnsi" w:hAnsiTheme="minorHAnsi"/>
          <w:b w:val="0"/>
          <w:color w:val="auto"/>
          <w:sz w:val="20"/>
          <w:szCs w:val="20"/>
        </w:rPr>
        <w:t>.</w:t>
      </w:r>
    </w:p>
  </w:footnote>
  <w:footnote w:id="42">
    <w:p w14:paraId="08E1B73C" w14:textId="63CB516D" w:rsidR="00F17564" w:rsidRPr="0072451F" w:rsidRDefault="00F17564">
      <w:pPr>
        <w:pStyle w:val="FootnoteText"/>
      </w:pPr>
      <w:r>
        <w:rPr>
          <w:rStyle w:val="FootnoteReference"/>
        </w:rPr>
        <w:footnoteRef/>
      </w:r>
      <w:r>
        <w:t xml:space="preserve"> Amanda </w:t>
      </w:r>
      <w:proofErr w:type="spellStart"/>
      <w:r>
        <w:t>Murdie</w:t>
      </w:r>
      <w:proofErr w:type="spellEnd"/>
      <w:r>
        <w:t xml:space="preserve"> and </w:t>
      </w:r>
      <w:proofErr w:type="spellStart"/>
      <w:r>
        <w:t>Dursun</w:t>
      </w:r>
      <w:proofErr w:type="spellEnd"/>
      <w:r>
        <w:t xml:space="preserve"> </w:t>
      </w:r>
      <w:proofErr w:type="spellStart"/>
      <w:r>
        <w:t>Peksen</w:t>
      </w:r>
      <w:proofErr w:type="spellEnd"/>
      <w:r>
        <w:t xml:space="preserve">, “The Impact of Human Rights INGO Shaming on Humanitarian Interventions,” </w:t>
      </w:r>
      <w:r>
        <w:rPr>
          <w:i/>
        </w:rPr>
        <w:t xml:space="preserve">Journal of Politics </w:t>
      </w:r>
      <w:r>
        <w:t xml:space="preserve">76 (January 2014), accessed via </w:t>
      </w:r>
      <w:hyperlink r:id="rId30" w:history="1">
        <w:r w:rsidRPr="00371952">
          <w:rPr>
            <w:rStyle w:val="Hyperlink"/>
          </w:rPr>
          <w:t>http://amandamurdie.org/uploads/3/0/3/1/3031054/draft_to_circulate_murdie_peksen.pdf</w:t>
        </w:r>
      </w:hyperlink>
      <w:r>
        <w:t>.</w:t>
      </w:r>
    </w:p>
  </w:footnote>
  <w:footnote w:id="43">
    <w:p w14:paraId="35F89642" w14:textId="77777777" w:rsidR="00F17564" w:rsidRPr="00E55DA8" w:rsidRDefault="00F17564" w:rsidP="00FB40FE">
      <w:pPr>
        <w:pStyle w:val="FootnoteText"/>
      </w:pPr>
      <w:r>
        <w:rPr>
          <w:rStyle w:val="FootnoteReference"/>
        </w:rPr>
        <w:footnoteRef/>
      </w:r>
      <w:r>
        <w:t xml:space="preserve"> Emilie M. </w:t>
      </w:r>
      <w:proofErr w:type="spellStart"/>
      <w:r>
        <w:t>Hafner</w:t>
      </w:r>
      <w:proofErr w:type="spellEnd"/>
      <w:r>
        <w:t xml:space="preserve">-Burton, “Sticks and Stones: Naming and Shaming the Human Rights Enforcement Problem,” </w:t>
      </w:r>
      <w:r>
        <w:rPr>
          <w:i/>
        </w:rPr>
        <w:t xml:space="preserve">International Organization </w:t>
      </w:r>
      <w:r>
        <w:t xml:space="preserve">62 (Fall 2008): 689-719. </w:t>
      </w:r>
    </w:p>
  </w:footnote>
  <w:footnote w:id="44">
    <w:p w14:paraId="72946604" w14:textId="1A31341B" w:rsidR="00F17564" w:rsidRDefault="00F17564">
      <w:pPr>
        <w:pStyle w:val="FootnoteText"/>
      </w:pPr>
      <w:r>
        <w:rPr>
          <w:rStyle w:val="FootnoteReference"/>
        </w:rPr>
        <w:footnoteRef/>
      </w:r>
      <w:r>
        <w:t xml:space="preserve"> </w:t>
      </w:r>
      <w:r>
        <w:rPr>
          <w:rStyle w:val="authors"/>
        </w:rPr>
        <w:t xml:space="preserve">Yuan Zhou, </w:t>
      </w:r>
      <w:proofErr w:type="spellStart"/>
      <w:r>
        <w:rPr>
          <w:rStyle w:val="authors"/>
        </w:rPr>
        <w:t>Ghashia</w:t>
      </w:r>
      <w:proofErr w:type="spellEnd"/>
      <w:r>
        <w:rPr>
          <w:rStyle w:val="authors"/>
        </w:rPr>
        <w:t xml:space="preserve"> </w:t>
      </w:r>
      <w:proofErr w:type="spellStart"/>
      <w:r>
        <w:rPr>
          <w:rStyle w:val="authors"/>
        </w:rPr>
        <w:t>Kiyani</w:t>
      </w:r>
      <w:proofErr w:type="spellEnd"/>
      <w:r>
        <w:rPr>
          <w:rStyle w:val="authors"/>
        </w:rPr>
        <w:t>, and Charles Crabtree</w:t>
      </w:r>
      <w:r>
        <w:t>, “</w:t>
      </w:r>
      <w:r>
        <w:rPr>
          <w:rStyle w:val="arttitle"/>
        </w:rPr>
        <w:t>New evidence that naming and shaming influences state human rights practices,”</w:t>
      </w:r>
      <w:r>
        <w:t xml:space="preserve"> </w:t>
      </w:r>
      <w:r w:rsidRPr="00E55DA8">
        <w:rPr>
          <w:rStyle w:val="serialtitle"/>
          <w:i/>
        </w:rPr>
        <w:t>Journal of Human Rights</w:t>
      </w:r>
      <w:r>
        <w:rPr>
          <w:rStyle w:val="serialtitle"/>
        </w:rPr>
        <w:t xml:space="preserve"> (November 2022), </w:t>
      </w:r>
      <w:hyperlink r:id="rId31" w:history="1">
        <w:r w:rsidRPr="00371952">
          <w:rPr>
            <w:rStyle w:val="Hyperlink"/>
          </w:rPr>
          <w:t>https://doi.org/10.1080/14754835.2022.2122785</w:t>
        </w:r>
      </w:hyperlink>
      <w:r>
        <w:rPr>
          <w:rStyle w:val="Hyperlink"/>
        </w:rPr>
        <w:t>.</w:t>
      </w:r>
      <w:r>
        <w:rPr>
          <w:rStyle w:val="serialtitle"/>
        </w:rPr>
        <w:t xml:space="preserve"> </w:t>
      </w:r>
    </w:p>
  </w:footnote>
  <w:footnote w:id="45">
    <w:p w14:paraId="564675F9" w14:textId="45A38333" w:rsidR="00F17564" w:rsidRDefault="00F17564">
      <w:pPr>
        <w:pStyle w:val="FootnoteText"/>
      </w:pPr>
      <w:r>
        <w:rPr>
          <w:rStyle w:val="FootnoteReference"/>
        </w:rPr>
        <w:footnoteRef/>
      </w:r>
      <w:r>
        <w:t xml:space="preserve"> </w:t>
      </w:r>
      <w:proofErr w:type="gramStart"/>
      <w:r>
        <w:t xml:space="preserve">Marcia Kramer and Ali Bauman, “NYC Agrees to Multimillion Dollar Settlement Compensating Protesters Corralled by Police Officers at 2020 George Floyd Protest,” </w:t>
      </w:r>
      <w:r w:rsidRPr="003F449B">
        <w:rPr>
          <w:i/>
        </w:rPr>
        <w:t>CBS New</w:t>
      </w:r>
      <w:r>
        <w:rPr>
          <w:i/>
        </w:rPr>
        <w:t>s</w:t>
      </w:r>
      <w:r>
        <w:t xml:space="preserve">, March 1, 2023, </w:t>
      </w:r>
      <w:hyperlink r:id="rId32" w:history="1">
        <w:r w:rsidRPr="00F01DBB">
          <w:rPr>
            <w:rStyle w:val="Hyperlink"/>
          </w:rPr>
          <w:t>https://www.cbsnews.com/newyork/news/new-york-city-nypd-george-floyd-protest-lawsuit/</w:t>
        </w:r>
      </w:hyperlink>
      <w:r>
        <w:t xml:space="preserve"> and Sierra, Sierra, </w:t>
      </w:r>
      <w:proofErr w:type="spellStart"/>
      <w:r>
        <w:t>Nigaglioni</w:t>
      </w:r>
      <w:proofErr w:type="spellEnd"/>
      <w:r>
        <w:t>, Gutierrez, and Wood v.</w:t>
      </w:r>
      <w:proofErr w:type="gramEnd"/>
      <w:r>
        <w:t xml:space="preserve"> The City of New York, </w:t>
      </w:r>
      <w:r w:rsidRPr="00A85A48">
        <w:t>1:20-cv-</w:t>
      </w:r>
      <w:r>
        <w:t>10291</w:t>
      </w:r>
      <w:r w:rsidRPr="00A85A48">
        <w:t xml:space="preserve">-CM </w:t>
      </w:r>
      <w:r>
        <w:t xml:space="preserve">(SDNY 2022) </w:t>
      </w:r>
      <w:hyperlink r:id="rId33" w:history="1">
        <w:r w:rsidRPr="00305AA0">
          <w:rPr>
            <w:rStyle w:val="Hyperlink"/>
          </w:rPr>
          <w:t>https://www.scribd.com/document/628798748/class-action-lawsuit</w:t>
        </w:r>
      </w:hyperlink>
      <w:r>
        <w:t xml:space="preserve">. </w:t>
      </w:r>
    </w:p>
  </w:footnote>
  <w:footnote w:id="46">
    <w:p w14:paraId="2F723AFB" w14:textId="5BFCA6CF" w:rsidR="00F17564" w:rsidRPr="00E55470" w:rsidRDefault="00F17564">
      <w:pPr>
        <w:pStyle w:val="FootnoteText"/>
      </w:pPr>
      <w:r>
        <w:rPr>
          <w:rStyle w:val="FootnoteReference"/>
        </w:rPr>
        <w:footnoteRef/>
      </w:r>
      <w:r>
        <w:t xml:space="preserve"> Judy </w:t>
      </w:r>
      <w:proofErr w:type="spellStart"/>
      <w:r>
        <w:t>Barsalou</w:t>
      </w:r>
      <w:proofErr w:type="spellEnd"/>
      <w:r>
        <w:t xml:space="preserve"> and Victoria Baxter, </w:t>
      </w:r>
      <w:r>
        <w:rPr>
          <w:i/>
        </w:rPr>
        <w:t xml:space="preserve">The Urge to Remember: The Role of Memorials in Social Reconstruction and Transitional Justice, </w:t>
      </w:r>
      <w:r>
        <w:t xml:space="preserve">United States Institute of Peace Stabilization and Reconstruction Series No. 5 (January 2007), 13-14. </w:t>
      </w:r>
    </w:p>
  </w:footnote>
  <w:footnote w:id="47">
    <w:p w14:paraId="32B36330" w14:textId="2CED0FF9" w:rsidR="00F17564" w:rsidRDefault="00F17564" w:rsidP="001D32A6">
      <w:r>
        <w:rPr>
          <w:rStyle w:val="FootnoteReference"/>
        </w:rPr>
        <w:footnoteRef/>
      </w:r>
      <w:r>
        <w:t xml:space="preserve"> </w:t>
      </w:r>
      <w:proofErr w:type="gramStart"/>
      <w:r w:rsidRPr="0056279A">
        <w:rPr>
          <w:rFonts w:ascii="Calibri" w:hAnsi="Calibri"/>
          <w:sz w:val="20"/>
          <w:szCs w:val="20"/>
        </w:rPr>
        <w:t xml:space="preserve">United Nations, General Assembly, </w:t>
      </w:r>
      <w:r w:rsidRPr="0056279A">
        <w:rPr>
          <w:rFonts w:ascii="Calibri" w:hAnsi="Calibri"/>
          <w:i/>
          <w:iCs/>
          <w:sz w:val="20"/>
          <w:szCs w:val="20"/>
        </w:rPr>
        <w:t>Role and Responsibilities of non-State Actors in Transitional Justice Processes</w:t>
      </w:r>
      <w:r w:rsidRPr="0056279A">
        <w:rPr>
          <w:rFonts w:ascii="Calibri" w:hAnsi="Calibri"/>
          <w:sz w:val="20"/>
          <w:szCs w:val="20"/>
        </w:rPr>
        <w:t xml:space="preserve">, A/HRC/51/34 (July 12, 2022), available from </w:t>
      </w:r>
      <w:hyperlink r:id="rId34" w:history="1">
        <w:r w:rsidRPr="0056279A">
          <w:rPr>
            <w:rStyle w:val="Hyperlink"/>
            <w:rFonts w:ascii="Calibri" w:hAnsi="Calibri"/>
            <w:sz w:val="20"/>
            <w:szCs w:val="20"/>
          </w:rPr>
          <w:t>https://undocs.org/Home/Mobile?FinalSymbol=A%2FHRC%2F51%2F34&amp;Language=E&amp;DeviceType=Desktop&amp;LangRequested=False</w:t>
        </w:r>
      </w:hyperlink>
      <w:r w:rsidRPr="0056279A">
        <w:rPr>
          <w:rFonts w:ascii="Calibri" w:hAnsi="Calibri"/>
          <w:sz w:val="20"/>
          <w:szCs w:val="20"/>
        </w:rPr>
        <w:t>.</w:t>
      </w:r>
      <w:proofErr w:type="gramEnd"/>
      <w:r>
        <w:rPr>
          <w:rFonts w:ascii="Calibri" w:hAnsi="Calibri"/>
        </w:rPr>
        <w:t> </w:t>
      </w:r>
    </w:p>
  </w:footnote>
  <w:footnote w:id="48">
    <w:p w14:paraId="2C5B8246" w14:textId="77777777" w:rsidR="00F17564" w:rsidRDefault="00F17564" w:rsidP="00F41FE4">
      <w:pPr>
        <w:pStyle w:val="FootnoteText"/>
      </w:pPr>
      <w:r>
        <w:rPr>
          <w:rStyle w:val="FootnoteReference"/>
        </w:rPr>
        <w:footnoteRef/>
      </w:r>
      <w:r>
        <w:t xml:space="preserve"> For more on the </w:t>
      </w:r>
      <w:proofErr w:type="spellStart"/>
      <w:r>
        <w:t>Ojo</w:t>
      </w:r>
      <w:proofErr w:type="spellEnd"/>
      <w:r>
        <w:t xml:space="preserve"> que </w:t>
      </w:r>
      <w:proofErr w:type="spellStart"/>
      <w:r>
        <w:t>Llora</w:t>
      </w:r>
      <w:proofErr w:type="spellEnd"/>
      <w:r>
        <w:t xml:space="preserve">, see </w:t>
      </w:r>
      <w:hyperlink r:id="rId35" w:history="1">
        <w:r w:rsidRPr="00305AA0">
          <w:rPr>
            <w:rStyle w:val="Hyperlink"/>
          </w:rPr>
          <w:t>https://www.cipdh.gob.ar/memorias-situadas/lugar-de-memoria/el-ojo-que-llora/</w:t>
        </w:r>
      </w:hyperlink>
      <w:r>
        <w:t>.</w:t>
      </w:r>
    </w:p>
  </w:footnote>
  <w:footnote w:id="49">
    <w:p w14:paraId="657460E2" w14:textId="0FD2FF5F" w:rsidR="00F17564" w:rsidRPr="00F41FE4" w:rsidRDefault="00F17564">
      <w:pPr>
        <w:pStyle w:val="FootnoteText"/>
      </w:pPr>
      <w:r>
        <w:rPr>
          <w:rStyle w:val="FootnoteReference"/>
        </w:rPr>
        <w:footnoteRef/>
      </w:r>
      <w:r>
        <w:t xml:space="preserve"> Margarita </w:t>
      </w:r>
      <w:proofErr w:type="spellStart"/>
      <w:r>
        <w:t>Saona</w:t>
      </w:r>
      <w:proofErr w:type="spellEnd"/>
      <w:r>
        <w:t xml:space="preserve">, “The Eye that Cries: Peru’s Unreconciled Memories,” </w:t>
      </w:r>
      <w:proofErr w:type="spellStart"/>
      <w:r>
        <w:rPr>
          <w:i/>
        </w:rPr>
        <w:t>ReVista</w:t>
      </w:r>
      <w:proofErr w:type="spellEnd"/>
      <w:r>
        <w:rPr>
          <w:i/>
        </w:rPr>
        <w:t xml:space="preserve">: Harvard Review of Latin America, </w:t>
      </w:r>
      <w:r>
        <w:t xml:space="preserve">July 19, 2021, </w:t>
      </w:r>
      <w:hyperlink r:id="rId36" w:history="1">
        <w:r w:rsidRPr="00371952">
          <w:rPr>
            <w:rStyle w:val="Hyperlink"/>
          </w:rPr>
          <w:t>https://revista.drclas.harvard.edu/the-eye-that-cries/</w:t>
        </w:r>
      </w:hyperlink>
      <w:r>
        <w:t xml:space="preserve">. </w:t>
      </w:r>
    </w:p>
  </w:footnote>
  <w:footnote w:id="50">
    <w:p w14:paraId="68AEE575" w14:textId="77777777" w:rsidR="00F17564" w:rsidRDefault="00F17564" w:rsidP="0086070B">
      <w:pPr>
        <w:pStyle w:val="FootnoteText"/>
      </w:pPr>
      <w:r>
        <w:rPr>
          <w:rStyle w:val="FootnoteReference"/>
        </w:rPr>
        <w:footnoteRef/>
      </w:r>
      <w:r>
        <w:t xml:space="preserve"> “Kosovo Memory Book,” Liber </w:t>
      </w:r>
      <w:proofErr w:type="spellStart"/>
      <w:r>
        <w:t>Kujtimii</w:t>
      </w:r>
      <w:proofErr w:type="spellEnd"/>
      <w:r>
        <w:t xml:space="preserve"> </w:t>
      </w:r>
      <w:proofErr w:type="spellStart"/>
      <w:r>
        <w:t>Kosoves</w:t>
      </w:r>
      <w:proofErr w:type="spellEnd"/>
      <w:r>
        <w:t xml:space="preserve">, last accessed May 30, 2023, </w:t>
      </w:r>
      <w:hyperlink r:id="rId37" w:history="1">
        <w:r w:rsidRPr="00305AA0">
          <w:rPr>
            <w:rStyle w:val="Hyperlink"/>
          </w:rPr>
          <w:t>http://www.liberkujtimiikosoves.org/?page_id=29&amp;lang=de</w:t>
        </w:r>
      </w:hyperlink>
      <w:r>
        <w:t xml:space="preserve">. </w:t>
      </w:r>
    </w:p>
  </w:footnote>
  <w:footnote w:id="51">
    <w:p w14:paraId="35D781D0" w14:textId="1FAE1D89" w:rsidR="00F17564" w:rsidRDefault="00F17564">
      <w:pPr>
        <w:pStyle w:val="FootnoteText"/>
      </w:pPr>
      <w:r>
        <w:rPr>
          <w:rStyle w:val="FootnoteReference"/>
        </w:rPr>
        <w:footnoteRef/>
      </w:r>
      <w:r>
        <w:t xml:space="preserve"> To learn more about the Africa Uncensored campaigns, see </w:t>
      </w:r>
      <w:proofErr w:type="spellStart"/>
      <w:r>
        <w:t>Kanjo</w:t>
      </w:r>
      <w:proofErr w:type="spellEnd"/>
      <w:r>
        <w:t xml:space="preserve"> Kingdom </w:t>
      </w:r>
      <w:hyperlink r:id="rId38" w:history="1">
        <w:r w:rsidRPr="00371952">
          <w:rPr>
            <w:rStyle w:val="Hyperlink"/>
          </w:rPr>
          <w:t>https://www.youtube.com/watch?v=IGMnFQTiwNg</w:t>
        </w:r>
      </w:hyperlink>
      <w:r>
        <w:t xml:space="preserve"> and Inspector </w:t>
      </w:r>
      <w:proofErr w:type="spellStart"/>
      <w:r>
        <w:t>Fisi</w:t>
      </w:r>
      <w:proofErr w:type="spellEnd"/>
      <w:r>
        <w:t xml:space="preserve"> </w:t>
      </w:r>
      <w:hyperlink r:id="rId39" w:history="1">
        <w:r w:rsidRPr="00371952">
          <w:rPr>
            <w:rStyle w:val="Hyperlink"/>
          </w:rPr>
          <w:t>https://www.youtube.com/watch?v=5FxAahqKLV0</w:t>
        </w:r>
      </w:hyperlink>
      <w:r>
        <w:t xml:space="preserve">. </w:t>
      </w:r>
    </w:p>
  </w:footnote>
  <w:footnote w:id="52">
    <w:p w14:paraId="74C2B938" w14:textId="1456734F" w:rsidR="00F17564" w:rsidRPr="00C74F28" w:rsidRDefault="00F17564">
      <w:pPr>
        <w:pStyle w:val="FootnoteText"/>
      </w:pPr>
      <w:r>
        <w:rPr>
          <w:rStyle w:val="FootnoteReference"/>
        </w:rPr>
        <w:footnoteRef/>
      </w:r>
      <w:r>
        <w:t xml:space="preserve"> John-Allen </w:t>
      </w:r>
      <w:proofErr w:type="spellStart"/>
      <w:r>
        <w:t>Namu</w:t>
      </w:r>
      <w:proofErr w:type="spellEnd"/>
      <w:r>
        <w:t xml:space="preserve"> and Tess Riley, “Nine Weeks of Bloodshed: How Brutal Policing of Kenya’s </w:t>
      </w:r>
      <w:proofErr w:type="spellStart"/>
      <w:r>
        <w:t>Covid</w:t>
      </w:r>
      <w:proofErr w:type="spellEnd"/>
      <w:r>
        <w:t xml:space="preserve"> Curfew Left 15 Dead,” </w:t>
      </w:r>
      <w:r>
        <w:rPr>
          <w:i/>
        </w:rPr>
        <w:t xml:space="preserve">The Guardian, </w:t>
      </w:r>
      <w:r>
        <w:t xml:space="preserve">October 23, 2020, </w:t>
      </w:r>
      <w:hyperlink r:id="rId40" w:history="1">
        <w:r w:rsidRPr="00371952">
          <w:rPr>
            <w:rStyle w:val="Hyperlink"/>
          </w:rPr>
          <w:t>https://www.theguardian.com/global-development/2020/oct/23/brutal-policing-kenyas-covid-curfew-left-15-dead</w:t>
        </w:r>
      </w:hyperlink>
      <w:r>
        <w:t>.</w:t>
      </w:r>
    </w:p>
  </w:footnote>
  <w:footnote w:id="53">
    <w:p w14:paraId="69BC4C74" w14:textId="188FB354" w:rsidR="00F17564" w:rsidRDefault="00F17564">
      <w:pPr>
        <w:pStyle w:val="FootnoteText"/>
      </w:pPr>
      <w:r>
        <w:rPr>
          <w:rStyle w:val="FootnoteReference"/>
        </w:rPr>
        <w:footnoteRef/>
      </w:r>
      <w:r>
        <w:t xml:space="preserve"> To learn more about </w:t>
      </w:r>
      <w:proofErr w:type="spellStart"/>
      <w:r>
        <w:t>Coombes’s</w:t>
      </w:r>
      <w:proofErr w:type="spellEnd"/>
      <w:r>
        <w:t xml:space="preserve"> work, see </w:t>
      </w:r>
      <w:hyperlink r:id="rId41" w:history="1">
        <w:r w:rsidRPr="00371952">
          <w:rPr>
            <w:rStyle w:val="Hyperlink"/>
          </w:rPr>
          <w:t>https://www.hope-based.com/</w:t>
        </w:r>
      </w:hyperlink>
      <w:r>
        <w:t xml:space="preserve">. </w:t>
      </w:r>
    </w:p>
  </w:footnote>
  <w:footnote w:id="54">
    <w:p w14:paraId="421AA961" w14:textId="45F1C1E0" w:rsidR="00F17564" w:rsidRPr="00490DCB" w:rsidRDefault="00F17564" w:rsidP="00FE5FB9">
      <w:pPr>
        <w:pStyle w:val="FootnoteText"/>
      </w:pPr>
      <w:r>
        <w:rPr>
          <w:rStyle w:val="FootnoteReference"/>
        </w:rPr>
        <w:footnoteRef/>
      </w:r>
      <w:r>
        <w:t xml:space="preserve"> Friedrich Nietzsche via John Berger in his 1970 essay, “The Past Seen from a Possible Future.” </w:t>
      </w:r>
      <w:r w:rsidRPr="007E4E8E">
        <w:t>For more, see</w:t>
      </w:r>
      <w:r w:rsidRPr="0086070B">
        <w:t xml:space="preserve"> Johnny Pitts and Marcia Henderson, </w:t>
      </w:r>
      <w:r w:rsidRPr="007E4E8E">
        <w:t>“</w:t>
      </w:r>
      <w:r w:rsidRPr="00490DCB">
        <w:t xml:space="preserve">Visibility” </w:t>
      </w:r>
      <w:r w:rsidRPr="003F449B">
        <w:rPr>
          <w:i/>
        </w:rPr>
        <w:t>Tate, Etc.</w:t>
      </w:r>
      <w:r>
        <w:t xml:space="preserve">, Spring 2023, 24, </w:t>
      </w:r>
      <w:hyperlink r:id="rId42" w:history="1">
        <w:r w:rsidRPr="00B01B32">
          <w:rPr>
            <w:rStyle w:val="Hyperlink"/>
          </w:rPr>
          <w:t>https://www.tate.org.uk/tate-etc/issue-57-spring-2023</w:t>
        </w:r>
      </w:hyperlink>
      <w:r>
        <w:rPr>
          <w:rStyle w:val="Hyperlink"/>
        </w:rPr>
        <w:t>.</w:t>
      </w:r>
      <w:r>
        <w:t xml:space="preserve"> Comment not included in online edition – on file with the author. </w:t>
      </w:r>
    </w:p>
  </w:footnote>
  <w:footnote w:id="55">
    <w:p w14:paraId="13E0C6E2" w14:textId="4998769E" w:rsidR="00F17564" w:rsidRDefault="00F17564">
      <w:pPr>
        <w:pStyle w:val="FootnoteText"/>
      </w:pPr>
      <w:r>
        <w:rPr>
          <w:rStyle w:val="FootnoteReference"/>
        </w:rPr>
        <w:footnoteRef/>
      </w:r>
      <w:r>
        <w:t xml:space="preserve"> This section was co-drafted with Itamar Barak, Deputy Director of Technology and Innovation at </w:t>
      </w:r>
      <w:proofErr w:type="spellStart"/>
      <w:r>
        <w:t>Videre</w:t>
      </w:r>
      <w:proofErr w:type="spellEnd"/>
      <w:r>
        <w:t xml:space="preserve">. </w:t>
      </w:r>
    </w:p>
  </w:footnote>
  <w:footnote w:id="56">
    <w:p w14:paraId="2A8A1D5E" w14:textId="0A2887EA" w:rsidR="00F17564" w:rsidRDefault="00F17564" w:rsidP="003D5585">
      <w:r>
        <w:rPr>
          <w:rStyle w:val="FootnoteReference"/>
        </w:rPr>
        <w:footnoteRef/>
      </w:r>
      <w:r>
        <w:t xml:space="preserve"> </w:t>
      </w:r>
      <w:r w:rsidRPr="009265F3">
        <w:rPr>
          <w:sz w:val="20"/>
          <w:szCs w:val="20"/>
        </w:rPr>
        <w:t>This section intentionally uses a vague “you” pronoun. It doesn’t prescribe who should or should not document, but it also does not pretend that there isn’t a real individual behind these decisions and actions.</w:t>
      </w:r>
      <w:r>
        <w:t xml:space="preserve"> </w:t>
      </w:r>
    </w:p>
  </w:footnote>
  <w:footnote w:id="57">
    <w:p w14:paraId="313A7B02" w14:textId="59710964" w:rsidR="00F17564" w:rsidRDefault="00F17564">
      <w:pPr>
        <w:pStyle w:val="FootnoteText"/>
      </w:pPr>
      <w:r>
        <w:rPr>
          <w:rStyle w:val="FootnoteReference"/>
        </w:rPr>
        <w:footnoteRef/>
      </w:r>
      <w:r>
        <w:t xml:space="preserve"> This section has benefited greatly and directly from the author’s work with Jennifer </w:t>
      </w:r>
      <w:proofErr w:type="spellStart"/>
      <w:r>
        <w:t>Easterday</w:t>
      </w:r>
      <w:proofErr w:type="spellEnd"/>
      <w:r>
        <w:t xml:space="preserve"> and Alexa Koenig, thinking through the ethical implications of human rights documentation and producing the essay, </w:t>
      </w:r>
      <w:hyperlink r:id="rId43" w:history="1">
        <w:r w:rsidRPr="00F969CE">
          <w:rPr>
            <w:rStyle w:val="Hyperlink"/>
          </w:rPr>
          <w:t>“Seven Essential Questions for War Crimes Documentation</w:t>
        </w:r>
      </w:hyperlink>
      <w:r>
        <w:t xml:space="preserve">” in early 2022.  </w:t>
      </w:r>
    </w:p>
  </w:footnote>
  <w:footnote w:id="58">
    <w:p w14:paraId="27FC5088" w14:textId="704C1483" w:rsidR="00F17564" w:rsidRDefault="00F17564">
      <w:pPr>
        <w:pStyle w:val="FootnoteText"/>
      </w:pPr>
      <w:r>
        <w:rPr>
          <w:rStyle w:val="FootnoteReference"/>
        </w:rPr>
        <w:footnoteRef/>
      </w:r>
      <w:r>
        <w:t xml:space="preserve"> Gabriela </w:t>
      </w:r>
      <w:proofErr w:type="spellStart"/>
      <w:r>
        <w:t>Ivens</w:t>
      </w:r>
      <w:proofErr w:type="spellEnd"/>
      <w:r>
        <w:t xml:space="preserve"> and Sam Dubberley, “The Responsible Open Source Investigations Workbook,” </w:t>
      </w:r>
      <w:hyperlink r:id="rId44" w:history="1">
        <w:r w:rsidRPr="00371952">
          <w:rPr>
            <w:rStyle w:val="Hyperlink"/>
          </w:rPr>
          <w:t>https://docs.google.com/document/d/1U0Yo0PFkOmk-G3myU--taiNN3wrRUkte7LeEtmBbE9c/edit</w:t>
        </w:r>
      </w:hyperlink>
      <w:r>
        <w:t xml:space="preserve"> </w:t>
      </w:r>
    </w:p>
  </w:footnote>
  <w:footnote w:id="59">
    <w:p w14:paraId="149445BE" w14:textId="7A1EA8C7" w:rsidR="0022596F" w:rsidRDefault="0022596F">
      <w:pPr>
        <w:pStyle w:val="FootnoteText"/>
      </w:pPr>
      <w:r>
        <w:rPr>
          <w:rStyle w:val="FootnoteReference"/>
        </w:rPr>
        <w:footnoteRef/>
      </w:r>
      <w:r>
        <w:t xml:space="preserve"> Julian Borger (@</w:t>
      </w:r>
      <w:proofErr w:type="spellStart"/>
      <w:r>
        <w:t>julianborger</w:t>
      </w:r>
      <w:proofErr w:type="spellEnd"/>
      <w:r>
        <w:t>), “At @USIP event, the @</w:t>
      </w:r>
      <w:proofErr w:type="spellStart"/>
      <w:r>
        <w:t>IntlCrimCourt</w:t>
      </w:r>
      <w:proofErr w:type="spellEnd"/>
      <w:r>
        <w:t xml:space="preserve"> prosecutor Karim Khan…” Tweet, April 26, 2022, </w:t>
      </w:r>
      <w:r>
        <w:fldChar w:fldCharType="begin"/>
      </w:r>
      <w:r>
        <w:instrText xml:space="preserve"> HYPERLINK "</w:instrText>
      </w:r>
      <w:r w:rsidRPr="0022596F">
        <w:instrText>https://twitter.com/julianborger/status/1519086008356249600</w:instrText>
      </w:r>
      <w:r>
        <w:instrText xml:space="preserve">" </w:instrText>
      </w:r>
      <w:r>
        <w:fldChar w:fldCharType="separate"/>
      </w:r>
      <w:r w:rsidRPr="00371952">
        <w:rPr>
          <w:rStyle w:val="Hyperlink"/>
        </w:rPr>
        <w:t>https://twitter.com/julianborger/status/1519086008356249600</w:t>
      </w:r>
      <w:r>
        <w:fldChar w:fldCharType="end"/>
      </w:r>
      <w:bookmarkStart w:id="0" w:name="_GoBack"/>
      <w:bookmarkEnd w:id="0"/>
      <w:r>
        <w:t>.</w:t>
      </w:r>
    </w:p>
  </w:footnote>
  <w:footnote w:id="60">
    <w:p w14:paraId="0827D96F" w14:textId="3BF52DC5" w:rsidR="00F17564" w:rsidRDefault="00F17564">
      <w:pPr>
        <w:pStyle w:val="FootnoteText"/>
      </w:pPr>
      <w:r>
        <w:rPr>
          <w:rStyle w:val="FootnoteReference"/>
        </w:rPr>
        <w:footnoteRef/>
      </w:r>
      <w:r>
        <w:t xml:space="preserve"> </w:t>
      </w:r>
      <w:r w:rsidRPr="00CD4CEA">
        <w:rPr>
          <w:rFonts w:cstheme="minorHAnsi"/>
        </w:rPr>
        <w:t xml:space="preserve">Sam Dubberley and Gabriela </w:t>
      </w:r>
      <w:proofErr w:type="spellStart"/>
      <w:r w:rsidRPr="00CD4CEA">
        <w:rPr>
          <w:rFonts w:cstheme="minorHAnsi"/>
        </w:rPr>
        <w:t>Ivens</w:t>
      </w:r>
      <w:proofErr w:type="spellEnd"/>
      <w:r>
        <w:rPr>
          <w:rFonts w:cstheme="minorHAnsi"/>
        </w:rPr>
        <w:t>,</w:t>
      </w:r>
      <w:r w:rsidRPr="00CD4CEA">
        <w:rPr>
          <w:rFonts w:cstheme="minorHAnsi"/>
        </w:rPr>
        <w:t xml:space="preserve"> “Outlining a Human-Rights Based Approach to Digital Open Source Investigations: A guide for human rights organisations and open source researchers</w:t>
      </w:r>
      <w:r>
        <w:rPr>
          <w:rFonts w:cstheme="minorHAnsi"/>
        </w:rPr>
        <w:t>,</w:t>
      </w:r>
      <w:r w:rsidRPr="00CD4CEA">
        <w:rPr>
          <w:rFonts w:cstheme="minorHAnsi"/>
        </w:rPr>
        <w:t xml:space="preserve">” </w:t>
      </w:r>
      <w:r w:rsidRPr="00CD4CEA">
        <w:rPr>
          <w:rFonts w:cstheme="minorHAnsi"/>
          <w:i/>
        </w:rPr>
        <w:t xml:space="preserve">Human Rights, Big Data and Technology Project </w:t>
      </w:r>
      <w:r w:rsidRPr="00CD4CEA">
        <w:rPr>
          <w:rFonts w:cstheme="minorHAnsi"/>
        </w:rPr>
        <w:t>(March 2022)</w:t>
      </w:r>
      <w:r>
        <w:rPr>
          <w:rFonts w:cstheme="minorHAnsi"/>
        </w:rPr>
        <w:t xml:space="preserve">, </w:t>
      </w:r>
      <w:hyperlink r:id="rId45" w:history="1">
        <w:r w:rsidRPr="00305AA0">
          <w:rPr>
            <w:rStyle w:val="Hyperlink"/>
            <w:rFonts w:cstheme="minorHAnsi"/>
          </w:rPr>
          <w:t>http://repository.essex.ac.uk/32642/1/Outlining%20a%20Human-Rights%20Based%20Approach%20to%20Digital%20Open%20Source%20Investigations.pdf</w:t>
        </w:r>
      </w:hyperlink>
      <w:r>
        <w:rPr>
          <w:rStyle w:val="Hyperlink"/>
          <w:rFonts w:cstheme="minorHAnsi"/>
        </w:rPr>
        <w:t>.</w:t>
      </w:r>
    </w:p>
  </w:footnote>
  <w:footnote w:id="61">
    <w:p w14:paraId="1E80F530" w14:textId="74D6EA3F" w:rsidR="00F17564" w:rsidRDefault="00F17564">
      <w:pPr>
        <w:pStyle w:val="FootnoteText"/>
      </w:pPr>
      <w:r>
        <w:rPr>
          <w:rStyle w:val="FootnoteReference"/>
        </w:rPr>
        <w:footnoteRef/>
      </w:r>
      <w:r>
        <w:t xml:space="preserve"> Dubberley and </w:t>
      </w:r>
      <w:proofErr w:type="spellStart"/>
      <w:r>
        <w:t>Ivens</w:t>
      </w:r>
      <w:proofErr w:type="spellEnd"/>
      <w:r>
        <w:t xml:space="preserve">, “Outlining a Human-Rights Based Approach,” and “The Murad Code,” The Murad Code Project, last accessed May 30, 2023, </w:t>
      </w:r>
      <w:hyperlink r:id="rId46" w:history="1">
        <w:r w:rsidRPr="00305AA0">
          <w:rPr>
            <w:rStyle w:val="Hyperlink"/>
          </w:rPr>
          <w:t>https://www.muradcode.com/murad-code</w:t>
        </w:r>
      </w:hyperlink>
      <w:r>
        <w:t xml:space="preserve">.  </w:t>
      </w:r>
    </w:p>
  </w:footnote>
  <w:footnote w:id="62">
    <w:p w14:paraId="3CBF5434" w14:textId="53924DA7" w:rsidR="00F17564" w:rsidRPr="00594A2D" w:rsidRDefault="00F17564">
      <w:pPr>
        <w:pStyle w:val="FootnoteText"/>
      </w:pPr>
      <w:r>
        <w:rPr>
          <w:rStyle w:val="FootnoteReference"/>
        </w:rPr>
        <w:footnoteRef/>
      </w:r>
      <w:r>
        <w:t xml:space="preserve"> Craig Higson Smith, Daniel Ó </w:t>
      </w:r>
      <w:proofErr w:type="spellStart"/>
      <w:r>
        <w:t>Cluanaigh</w:t>
      </w:r>
      <w:proofErr w:type="spellEnd"/>
      <w:r>
        <w:t xml:space="preserve">, Ali G. Ravi, and Peter </w:t>
      </w:r>
      <w:proofErr w:type="spellStart"/>
      <w:r>
        <w:t>Steudtner</w:t>
      </w:r>
      <w:proofErr w:type="spellEnd"/>
      <w:r>
        <w:t xml:space="preserve">, </w:t>
      </w:r>
      <w:r w:rsidRPr="006F6A9B">
        <w:t>“</w:t>
      </w:r>
      <w:r w:rsidRPr="00F17564">
        <w:t>Holistic Security: A Strategy Manual for Human Rights Defenders</w:t>
      </w:r>
      <w:r>
        <w:t>,</w:t>
      </w:r>
      <w:proofErr w:type="gramStart"/>
      <w:r w:rsidRPr="00F17564">
        <w:t>”</w:t>
      </w:r>
      <w:r>
        <w:t>(</w:t>
      </w:r>
      <w:proofErr w:type="gramEnd"/>
      <w:r>
        <w:t>European Union and Free Press Unlimited,</w:t>
      </w:r>
      <w:r>
        <w:rPr>
          <w:i/>
        </w:rPr>
        <w:t xml:space="preserve"> </w:t>
      </w:r>
      <w:r>
        <w:t xml:space="preserve">2016), </w:t>
      </w:r>
      <w:hyperlink r:id="rId47" w:history="1">
        <w:r w:rsidRPr="00371952">
          <w:rPr>
            <w:rStyle w:val="Hyperlink"/>
          </w:rPr>
          <w:t>https://holistic-security.tacticaltech.org/</w:t>
        </w:r>
      </w:hyperlink>
      <w:r>
        <w:t xml:space="preserve">. </w:t>
      </w:r>
    </w:p>
  </w:footnote>
  <w:footnote w:id="63">
    <w:p w14:paraId="7368265E" w14:textId="7FA3A3F5" w:rsidR="00F17564" w:rsidRPr="00594A2D" w:rsidRDefault="00F17564">
      <w:pPr>
        <w:pStyle w:val="FootnoteText"/>
      </w:pPr>
      <w:r>
        <w:rPr>
          <w:rStyle w:val="FootnoteReference"/>
        </w:rPr>
        <w:footnoteRef/>
      </w:r>
      <w:r>
        <w:t xml:space="preserve"> Higson Smith, Ó </w:t>
      </w:r>
      <w:proofErr w:type="spellStart"/>
      <w:r>
        <w:t>Cluanaigh</w:t>
      </w:r>
      <w:proofErr w:type="spellEnd"/>
      <w:r>
        <w:t xml:space="preserve">, Ravi, and </w:t>
      </w:r>
      <w:proofErr w:type="spellStart"/>
      <w:r>
        <w:t>Steudtner</w:t>
      </w:r>
      <w:proofErr w:type="spellEnd"/>
      <w:r>
        <w:t xml:space="preserve">, </w:t>
      </w:r>
      <w:r>
        <w:rPr>
          <w:i/>
        </w:rPr>
        <w:t>Holistic Security</w:t>
      </w:r>
      <w:r>
        <w:t xml:space="preserve">, 54. </w:t>
      </w:r>
    </w:p>
  </w:footnote>
  <w:footnote w:id="64">
    <w:p w14:paraId="48E4C13D" w14:textId="5CA7C71A" w:rsidR="00F17564" w:rsidRDefault="00F17564">
      <w:pPr>
        <w:pStyle w:val="FootnoteText"/>
      </w:pPr>
      <w:r>
        <w:rPr>
          <w:rStyle w:val="FootnoteReference"/>
        </w:rPr>
        <w:footnoteRef/>
      </w:r>
      <w:r>
        <w:t xml:space="preserve"> Higson Smith, Ó </w:t>
      </w:r>
      <w:proofErr w:type="spellStart"/>
      <w:r>
        <w:t>Cluanaigh</w:t>
      </w:r>
      <w:proofErr w:type="spellEnd"/>
      <w:r>
        <w:t xml:space="preserve">, Ravi, and </w:t>
      </w:r>
      <w:proofErr w:type="spellStart"/>
      <w:r>
        <w:t>Steudtner</w:t>
      </w:r>
      <w:proofErr w:type="spellEnd"/>
      <w:r>
        <w:t xml:space="preserve">, </w:t>
      </w:r>
      <w:r>
        <w:rPr>
          <w:i/>
        </w:rPr>
        <w:t>Holistic Security</w:t>
      </w:r>
      <w:r>
        <w:t>, 108.</w:t>
      </w:r>
    </w:p>
  </w:footnote>
  <w:footnote w:id="65">
    <w:p w14:paraId="35F14545" w14:textId="5D5F7F9D" w:rsidR="00F17564" w:rsidRDefault="00F17564">
      <w:pPr>
        <w:pStyle w:val="FootnoteText"/>
      </w:pPr>
      <w:r>
        <w:rPr>
          <w:rStyle w:val="FootnoteReference"/>
        </w:rPr>
        <w:footnoteRef/>
      </w:r>
      <w:r>
        <w:t xml:space="preserve"> Higson Smith, Ó </w:t>
      </w:r>
      <w:proofErr w:type="spellStart"/>
      <w:r>
        <w:t>Cluanaigh</w:t>
      </w:r>
      <w:proofErr w:type="spellEnd"/>
      <w:r>
        <w:t xml:space="preserve">, Ravi, and </w:t>
      </w:r>
      <w:proofErr w:type="spellStart"/>
      <w:r>
        <w:t>Steudtner</w:t>
      </w:r>
      <w:proofErr w:type="spellEnd"/>
      <w:r>
        <w:t xml:space="preserve">, </w:t>
      </w:r>
      <w:r>
        <w:rPr>
          <w:i/>
        </w:rPr>
        <w:t>Holistic Security</w:t>
      </w:r>
      <w:r>
        <w:t xml:space="preserve">, 101-113. </w:t>
      </w:r>
    </w:p>
  </w:footnote>
  <w:footnote w:id="66">
    <w:p w14:paraId="0D8F0207" w14:textId="30883FF3" w:rsidR="00F17564" w:rsidRPr="009D5947" w:rsidRDefault="00F17564">
      <w:pPr>
        <w:pStyle w:val="FootnoteText"/>
      </w:pPr>
      <w:r>
        <w:rPr>
          <w:rStyle w:val="FootnoteReference"/>
        </w:rPr>
        <w:footnoteRef/>
      </w:r>
      <w:r>
        <w:t xml:space="preserve"> For more on vicarious trauma, see Elise Baker, Eric Stover, </w:t>
      </w:r>
      <w:proofErr w:type="spellStart"/>
      <w:r>
        <w:t>Rohini</w:t>
      </w:r>
      <w:proofErr w:type="spellEnd"/>
      <w:r>
        <w:t xml:space="preserve"> </w:t>
      </w:r>
      <w:proofErr w:type="spellStart"/>
      <w:r>
        <w:t>Haar</w:t>
      </w:r>
      <w:proofErr w:type="spellEnd"/>
      <w:r>
        <w:t xml:space="preserve">, Andrea </w:t>
      </w:r>
      <w:proofErr w:type="spellStart"/>
      <w:r>
        <w:t>Lampros</w:t>
      </w:r>
      <w:proofErr w:type="spellEnd"/>
      <w:r>
        <w:t xml:space="preserve">, and Alexa Koenig, “Safer Viewing: A Study of Secondary Trauma Mitigation Techniques in Open Source Investigations,” </w:t>
      </w:r>
      <w:r>
        <w:rPr>
          <w:i/>
        </w:rPr>
        <w:t>Health and Human Rights Journal</w:t>
      </w:r>
      <w:r>
        <w:t xml:space="preserve"> 22/1 (June 2020): 293-304. </w:t>
      </w:r>
    </w:p>
  </w:footnote>
  <w:footnote w:id="67">
    <w:p w14:paraId="71F53C6E" w14:textId="4E31E377" w:rsidR="00F17564" w:rsidRDefault="00F17564">
      <w:pPr>
        <w:pStyle w:val="FootnoteText"/>
      </w:pPr>
      <w:r>
        <w:rPr>
          <w:rStyle w:val="FootnoteReference"/>
        </w:rPr>
        <w:footnoteRef/>
      </w:r>
      <w:r>
        <w:t xml:space="preserve"> For a deeper dive into storing and preserving human rights documentation, see WITNESS’s “Activists’ Guide to Archiving Video,” last accessed May 31, 2023, </w:t>
      </w:r>
      <w:hyperlink r:id="rId48" w:history="1">
        <w:r w:rsidRPr="00371952">
          <w:rPr>
            <w:rStyle w:val="Hyperlink"/>
          </w:rPr>
          <w:t>https://archiving.witness.org/archive-guide/</w:t>
        </w:r>
      </w:hyperlink>
      <w:r>
        <w:t>.</w:t>
      </w:r>
    </w:p>
  </w:footnote>
  <w:footnote w:id="68">
    <w:p w14:paraId="092E882D" w14:textId="4E1E9BA5" w:rsidR="00F17564" w:rsidRPr="00041158" w:rsidRDefault="00F17564">
      <w:pPr>
        <w:pStyle w:val="FootnoteText"/>
      </w:pPr>
      <w:r>
        <w:rPr>
          <w:rStyle w:val="FootnoteReference"/>
        </w:rPr>
        <w:footnoteRef/>
      </w:r>
      <w:r>
        <w:t xml:space="preserve"> </w:t>
      </w:r>
      <w:r w:rsidRPr="00041158">
        <w:t>Lindsay Freeman, “</w:t>
      </w:r>
      <w:r w:rsidRPr="00041158">
        <w:rPr>
          <w:rFonts w:eastAsia="Times New Roman" w:cs="Times New Roman"/>
          <w:kern w:val="36"/>
          <w:lang w:eastAsia="en-GB"/>
        </w:rPr>
        <w:t xml:space="preserve">Prosecuting Atrocity Crimes with Open Source Evidence: Lessons from the International Criminal Court,” </w:t>
      </w:r>
      <w:r w:rsidR="002302CC">
        <w:rPr>
          <w:rFonts w:eastAsia="Times New Roman" w:cs="Times New Roman"/>
          <w:kern w:val="36"/>
          <w:lang w:eastAsia="en-GB"/>
        </w:rPr>
        <w:t xml:space="preserve">in </w:t>
      </w:r>
      <w:hyperlink r:id="rId49" w:history="1">
        <w:r w:rsidRPr="00041158">
          <w:rPr>
            <w:rStyle w:val="Hyperlink"/>
            <w:i/>
            <w:color w:val="auto"/>
            <w:u w:val="none"/>
          </w:rPr>
          <w:t>Digital Witness: Using Open Source Information for Human Rights Investigation, Documentation, and Accountability</w:t>
        </w:r>
      </w:hyperlink>
      <w:r w:rsidR="002302CC">
        <w:rPr>
          <w:rStyle w:val="Hyperlink"/>
          <w:color w:val="auto"/>
          <w:u w:val="none"/>
        </w:rPr>
        <w:t xml:space="preserve">, </w:t>
      </w:r>
      <w:proofErr w:type="gramStart"/>
      <w:r w:rsidR="002302CC">
        <w:rPr>
          <w:rStyle w:val="Hyperlink"/>
          <w:color w:val="auto"/>
          <w:u w:val="none"/>
        </w:rPr>
        <w:t>ed</w:t>
      </w:r>
      <w:proofErr w:type="gramEnd"/>
      <w:r w:rsidR="002302CC">
        <w:rPr>
          <w:rStyle w:val="Hyperlink"/>
          <w:color w:val="auto"/>
          <w:u w:val="none"/>
        </w:rPr>
        <w:t xml:space="preserve">. Sam Dubberley, Alexa Koenig, and </w:t>
      </w:r>
      <w:proofErr w:type="spellStart"/>
      <w:r w:rsidR="00AD7755">
        <w:rPr>
          <w:rStyle w:val="Hyperlink"/>
          <w:color w:val="auto"/>
          <w:u w:val="none"/>
        </w:rPr>
        <w:t>Daragh</w:t>
      </w:r>
      <w:proofErr w:type="spellEnd"/>
      <w:r w:rsidR="00AD7755">
        <w:rPr>
          <w:rStyle w:val="Hyperlink"/>
          <w:color w:val="auto"/>
          <w:u w:val="none"/>
        </w:rPr>
        <w:t xml:space="preserve"> Murray</w:t>
      </w:r>
      <w:r w:rsidRPr="00041158">
        <w:rPr>
          <w:i/>
        </w:rPr>
        <w:t xml:space="preserve"> </w:t>
      </w:r>
      <w:r w:rsidRPr="00041158">
        <w:t>(Oxford University Press, 2019).</w:t>
      </w:r>
    </w:p>
  </w:footnote>
  <w:footnote w:id="69">
    <w:p w14:paraId="2B8DCA54" w14:textId="01B1A33E" w:rsidR="00F17564" w:rsidRDefault="00F17564">
      <w:pPr>
        <w:pStyle w:val="FootnoteText"/>
      </w:pPr>
      <w:r>
        <w:rPr>
          <w:rStyle w:val="FootnoteReference"/>
        </w:rPr>
        <w:footnoteRef/>
      </w:r>
      <w:r>
        <w:t xml:space="preserve">“Hours of Video Uploaded to YouTube Every Minute as of February 2022,” </w:t>
      </w:r>
      <w:r w:rsidRPr="00054621">
        <w:t>Statista</w:t>
      </w:r>
      <w:r w:rsidRPr="003D5585">
        <w:rPr>
          <w:i/>
        </w:rPr>
        <w:t>,</w:t>
      </w:r>
      <w:r>
        <w:t xml:space="preserve"> 22 March 2023, </w:t>
      </w:r>
      <w:hyperlink r:id="rId50" w:history="1">
        <w:r w:rsidRPr="00054621">
          <w:rPr>
            <w:rStyle w:val="Hyperlink"/>
          </w:rPr>
          <w:t>https://www.statista.com/statistics/259477/hours-of-video-uploaded-to-youtube-every-minute/</w:t>
        </w:r>
      </w:hyperlink>
      <w:r>
        <w:t xml:space="preserve"> and, “Number of Social Media Users Worldwide from 2017 to 2027,” </w:t>
      </w:r>
      <w:r w:rsidRPr="00054621">
        <w:t>Statista</w:t>
      </w:r>
      <w:r>
        <w:t xml:space="preserve">, June 2022,  </w:t>
      </w:r>
      <w:hyperlink r:id="rId51" w:history="1">
        <w:r w:rsidRPr="00371952">
          <w:rPr>
            <w:rStyle w:val="Hyperlink"/>
          </w:rPr>
          <w:t>https://www.statista.com/statistics/278414/number-of-worldwide-social-network-users/</w:t>
        </w:r>
      </w:hyperlink>
      <w:r>
        <w:rPr>
          <w:rStyle w:val="Hyperlink"/>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0D1"/>
    <w:multiLevelType w:val="hybridMultilevel"/>
    <w:tmpl w:val="DD3A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935B3"/>
    <w:multiLevelType w:val="hybridMultilevel"/>
    <w:tmpl w:val="C432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C79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CC0EA7"/>
    <w:multiLevelType w:val="hybridMultilevel"/>
    <w:tmpl w:val="9E02263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nsid w:val="154402ED"/>
    <w:multiLevelType w:val="hybridMultilevel"/>
    <w:tmpl w:val="F7B20154"/>
    <w:lvl w:ilvl="0" w:tplc="95C894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4107BE"/>
    <w:multiLevelType w:val="hybridMultilevel"/>
    <w:tmpl w:val="A258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435758"/>
    <w:multiLevelType w:val="hybridMultilevel"/>
    <w:tmpl w:val="49B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B1A8D"/>
    <w:multiLevelType w:val="hybridMultilevel"/>
    <w:tmpl w:val="C8109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EF9768C"/>
    <w:multiLevelType w:val="hybridMultilevel"/>
    <w:tmpl w:val="50CE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50F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F168CC"/>
    <w:multiLevelType w:val="hybridMultilevel"/>
    <w:tmpl w:val="3B30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760538"/>
    <w:multiLevelType w:val="hybridMultilevel"/>
    <w:tmpl w:val="B816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CF78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666004"/>
    <w:multiLevelType w:val="hybridMultilevel"/>
    <w:tmpl w:val="FA0A0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912104"/>
    <w:multiLevelType w:val="hybridMultilevel"/>
    <w:tmpl w:val="536A9F4C"/>
    <w:lvl w:ilvl="0" w:tplc="DDCA11AC">
      <w:start w:val="1"/>
      <w:numFmt w:val="bullet"/>
      <w:lvlText w:val="-"/>
      <w:lvlJc w:val="left"/>
      <w:pPr>
        <w:ind w:left="3336" w:hanging="360"/>
      </w:pPr>
      <w:rPr>
        <w:rFonts w:ascii="Calibri" w:eastAsiaTheme="minorHAnsi" w:hAnsi="Calibri" w:cstheme="minorBidi" w:hint="default"/>
      </w:rPr>
    </w:lvl>
    <w:lvl w:ilvl="1" w:tplc="08090003" w:tentative="1">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abstractNum w:abstractNumId="15">
    <w:nsid w:val="5FC30DE9"/>
    <w:multiLevelType w:val="multilevel"/>
    <w:tmpl w:val="EBD60BD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2379A1"/>
    <w:multiLevelType w:val="hybridMultilevel"/>
    <w:tmpl w:val="ECA2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3A6F8F"/>
    <w:multiLevelType w:val="hybridMultilevel"/>
    <w:tmpl w:val="18CCB99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nsid w:val="6D4D644B"/>
    <w:multiLevelType w:val="hybridMultilevel"/>
    <w:tmpl w:val="87AE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795B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8367436"/>
    <w:multiLevelType w:val="hybridMultilevel"/>
    <w:tmpl w:val="5E9615FE"/>
    <w:lvl w:ilvl="0" w:tplc="08090001">
      <w:start w:val="1"/>
      <w:numFmt w:val="bullet"/>
      <w:lvlText w:val=""/>
      <w:lvlJc w:val="left"/>
      <w:pPr>
        <w:ind w:left="3336" w:hanging="360"/>
      </w:pPr>
      <w:rPr>
        <w:rFonts w:ascii="Symbol" w:hAnsi="Symbol" w:hint="default"/>
      </w:rPr>
    </w:lvl>
    <w:lvl w:ilvl="1" w:tplc="08090003">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1"/>
  </w:num>
  <w:num w:numId="6">
    <w:abstractNumId w:val="14"/>
  </w:num>
  <w:num w:numId="7">
    <w:abstractNumId w:val="12"/>
  </w:num>
  <w:num w:numId="8">
    <w:abstractNumId w:val="15"/>
  </w:num>
  <w:num w:numId="9">
    <w:abstractNumId w:val="19"/>
  </w:num>
  <w:num w:numId="10">
    <w:abstractNumId w:val="9"/>
  </w:num>
  <w:num w:numId="11">
    <w:abstractNumId w:val="0"/>
  </w:num>
  <w:num w:numId="12">
    <w:abstractNumId w:val="4"/>
  </w:num>
  <w:num w:numId="13">
    <w:abstractNumId w:val="5"/>
  </w:num>
  <w:num w:numId="14">
    <w:abstractNumId w:val="13"/>
  </w:num>
  <w:num w:numId="15">
    <w:abstractNumId w:val="20"/>
  </w:num>
  <w:num w:numId="16">
    <w:abstractNumId w:val="7"/>
  </w:num>
  <w:num w:numId="17">
    <w:abstractNumId w:val="16"/>
  </w:num>
  <w:num w:numId="18">
    <w:abstractNumId w:val="10"/>
  </w:num>
  <w:num w:numId="19">
    <w:abstractNumId w:val="3"/>
  </w:num>
  <w:num w:numId="20">
    <w:abstractNumId w:val="17"/>
  </w:num>
  <w:num w:numId="21">
    <w:abstractNumId w:val="2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06"/>
    <w:rsid w:val="0000181D"/>
    <w:rsid w:val="000135DB"/>
    <w:rsid w:val="0001733A"/>
    <w:rsid w:val="000238F3"/>
    <w:rsid w:val="00025A58"/>
    <w:rsid w:val="0003402D"/>
    <w:rsid w:val="00036938"/>
    <w:rsid w:val="000375B4"/>
    <w:rsid w:val="00041158"/>
    <w:rsid w:val="00054621"/>
    <w:rsid w:val="000573DA"/>
    <w:rsid w:val="00057952"/>
    <w:rsid w:val="00057E65"/>
    <w:rsid w:val="00076F11"/>
    <w:rsid w:val="00080A89"/>
    <w:rsid w:val="00090DC4"/>
    <w:rsid w:val="00094BBC"/>
    <w:rsid w:val="000A4443"/>
    <w:rsid w:val="000A4924"/>
    <w:rsid w:val="000A6967"/>
    <w:rsid w:val="000A7C8A"/>
    <w:rsid w:val="000B2304"/>
    <w:rsid w:val="000B47C9"/>
    <w:rsid w:val="000B700C"/>
    <w:rsid w:val="000C2ACB"/>
    <w:rsid w:val="000C7B55"/>
    <w:rsid w:val="000D109C"/>
    <w:rsid w:val="000D2E9F"/>
    <w:rsid w:val="000D6A5C"/>
    <w:rsid w:val="000D6A7A"/>
    <w:rsid w:val="000E11EB"/>
    <w:rsid w:val="000E1304"/>
    <w:rsid w:val="000E32F4"/>
    <w:rsid w:val="000E7ECB"/>
    <w:rsid w:val="000F3CA9"/>
    <w:rsid w:val="000F69DD"/>
    <w:rsid w:val="000F7D4D"/>
    <w:rsid w:val="0010028C"/>
    <w:rsid w:val="00101DF6"/>
    <w:rsid w:val="001039D6"/>
    <w:rsid w:val="001104B2"/>
    <w:rsid w:val="001322B5"/>
    <w:rsid w:val="00134755"/>
    <w:rsid w:val="0014261A"/>
    <w:rsid w:val="00151034"/>
    <w:rsid w:val="001518BD"/>
    <w:rsid w:val="00151A21"/>
    <w:rsid w:val="00161BC0"/>
    <w:rsid w:val="0016406E"/>
    <w:rsid w:val="00165124"/>
    <w:rsid w:val="00173350"/>
    <w:rsid w:val="00174973"/>
    <w:rsid w:val="001804CA"/>
    <w:rsid w:val="00180713"/>
    <w:rsid w:val="00186E9D"/>
    <w:rsid w:val="001877CC"/>
    <w:rsid w:val="00187FAE"/>
    <w:rsid w:val="00197828"/>
    <w:rsid w:val="001A045F"/>
    <w:rsid w:val="001A45F7"/>
    <w:rsid w:val="001B11A9"/>
    <w:rsid w:val="001C73B2"/>
    <w:rsid w:val="001D2976"/>
    <w:rsid w:val="001D32A6"/>
    <w:rsid w:val="001E5E0E"/>
    <w:rsid w:val="001F6724"/>
    <w:rsid w:val="00204DF8"/>
    <w:rsid w:val="00207A07"/>
    <w:rsid w:val="00216840"/>
    <w:rsid w:val="0022596F"/>
    <w:rsid w:val="002302CC"/>
    <w:rsid w:val="00230B22"/>
    <w:rsid w:val="00232CC4"/>
    <w:rsid w:val="00240481"/>
    <w:rsid w:val="00252E6C"/>
    <w:rsid w:val="00263163"/>
    <w:rsid w:val="0026432D"/>
    <w:rsid w:val="002662A4"/>
    <w:rsid w:val="00272567"/>
    <w:rsid w:val="002774B1"/>
    <w:rsid w:val="00282311"/>
    <w:rsid w:val="00284E96"/>
    <w:rsid w:val="00292965"/>
    <w:rsid w:val="002A400A"/>
    <w:rsid w:val="002B41CA"/>
    <w:rsid w:val="002C77D1"/>
    <w:rsid w:val="002D0A69"/>
    <w:rsid w:val="002D3C69"/>
    <w:rsid w:val="002F079A"/>
    <w:rsid w:val="002F3A30"/>
    <w:rsid w:val="002F42D4"/>
    <w:rsid w:val="002F7458"/>
    <w:rsid w:val="002F7DC4"/>
    <w:rsid w:val="003245DE"/>
    <w:rsid w:val="00326728"/>
    <w:rsid w:val="00331B6F"/>
    <w:rsid w:val="00333106"/>
    <w:rsid w:val="003337F4"/>
    <w:rsid w:val="00340838"/>
    <w:rsid w:val="00341F29"/>
    <w:rsid w:val="0034728D"/>
    <w:rsid w:val="00365F8A"/>
    <w:rsid w:val="00365FFE"/>
    <w:rsid w:val="0037670B"/>
    <w:rsid w:val="003769C5"/>
    <w:rsid w:val="00380436"/>
    <w:rsid w:val="003863A3"/>
    <w:rsid w:val="003929EE"/>
    <w:rsid w:val="00392E8C"/>
    <w:rsid w:val="003B1DC1"/>
    <w:rsid w:val="003B6DB8"/>
    <w:rsid w:val="003C1088"/>
    <w:rsid w:val="003C2803"/>
    <w:rsid w:val="003D4CFA"/>
    <w:rsid w:val="003D5585"/>
    <w:rsid w:val="003D5E2D"/>
    <w:rsid w:val="003E2797"/>
    <w:rsid w:val="003E7948"/>
    <w:rsid w:val="003F26EC"/>
    <w:rsid w:val="003F449B"/>
    <w:rsid w:val="003F5C2C"/>
    <w:rsid w:val="004037BB"/>
    <w:rsid w:val="00407AE2"/>
    <w:rsid w:val="00424B0B"/>
    <w:rsid w:val="00433FB4"/>
    <w:rsid w:val="00443E0F"/>
    <w:rsid w:val="00445117"/>
    <w:rsid w:val="00451068"/>
    <w:rsid w:val="00466539"/>
    <w:rsid w:val="00475B29"/>
    <w:rsid w:val="00476EF6"/>
    <w:rsid w:val="00481B14"/>
    <w:rsid w:val="00483B36"/>
    <w:rsid w:val="004867B4"/>
    <w:rsid w:val="00490DCB"/>
    <w:rsid w:val="004978A7"/>
    <w:rsid w:val="004A1591"/>
    <w:rsid w:val="004A163D"/>
    <w:rsid w:val="004D0D10"/>
    <w:rsid w:val="004D4932"/>
    <w:rsid w:val="004D6780"/>
    <w:rsid w:val="004F02B0"/>
    <w:rsid w:val="00503E83"/>
    <w:rsid w:val="00515A73"/>
    <w:rsid w:val="0052413B"/>
    <w:rsid w:val="0052643A"/>
    <w:rsid w:val="005458B9"/>
    <w:rsid w:val="00552CCD"/>
    <w:rsid w:val="005547AE"/>
    <w:rsid w:val="00554ABC"/>
    <w:rsid w:val="005560A5"/>
    <w:rsid w:val="00557EFC"/>
    <w:rsid w:val="005619C2"/>
    <w:rsid w:val="0056279A"/>
    <w:rsid w:val="0056331A"/>
    <w:rsid w:val="00563477"/>
    <w:rsid w:val="0057641D"/>
    <w:rsid w:val="005767A1"/>
    <w:rsid w:val="005822BD"/>
    <w:rsid w:val="00584BB7"/>
    <w:rsid w:val="00594A2D"/>
    <w:rsid w:val="005971D8"/>
    <w:rsid w:val="005B0822"/>
    <w:rsid w:val="005B5F78"/>
    <w:rsid w:val="005B67D1"/>
    <w:rsid w:val="005C040F"/>
    <w:rsid w:val="005C1002"/>
    <w:rsid w:val="005C4CD9"/>
    <w:rsid w:val="005F02F4"/>
    <w:rsid w:val="006035E8"/>
    <w:rsid w:val="006100C7"/>
    <w:rsid w:val="006126BC"/>
    <w:rsid w:val="006356D7"/>
    <w:rsid w:val="00641758"/>
    <w:rsid w:val="00643C8A"/>
    <w:rsid w:val="006562C8"/>
    <w:rsid w:val="006674D2"/>
    <w:rsid w:val="00686534"/>
    <w:rsid w:val="00686973"/>
    <w:rsid w:val="006938AE"/>
    <w:rsid w:val="00695331"/>
    <w:rsid w:val="006A5CC3"/>
    <w:rsid w:val="006B59F4"/>
    <w:rsid w:val="006B7562"/>
    <w:rsid w:val="006C57EF"/>
    <w:rsid w:val="006D3100"/>
    <w:rsid w:val="006E07FC"/>
    <w:rsid w:val="006E5F0B"/>
    <w:rsid w:val="006F060D"/>
    <w:rsid w:val="006F0EE8"/>
    <w:rsid w:val="006F6A9B"/>
    <w:rsid w:val="00701FBA"/>
    <w:rsid w:val="007025C9"/>
    <w:rsid w:val="00710D8E"/>
    <w:rsid w:val="00711D58"/>
    <w:rsid w:val="00712A97"/>
    <w:rsid w:val="007145A5"/>
    <w:rsid w:val="007151D2"/>
    <w:rsid w:val="007169E4"/>
    <w:rsid w:val="00717444"/>
    <w:rsid w:val="00720CF9"/>
    <w:rsid w:val="00721AED"/>
    <w:rsid w:val="0072451F"/>
    <w:rsid w:val="0072757F"/>
    <w:rsid w:val="00741DAD"/>
    <w:rsid w:val="007473FC"/>
    <w:rsid w:val="0075391A"/>
    <w:rsid w:val="00765035"/>
    <w:rsid w:val="00780D11"/>
    <w:rsid w:val="00792554"/>
    <w:rsid w:val="0079294E"/>
    <w:rsid w:val="00797A1E"/>
    <w:rsid w:val="007A3380"/>
    <w:rsid w:val="007A6C3A"/>
    <w:rsid w:val="007B4EA3"/>
    <w:rsid w:val="007B73D5"/>
    <w:rsid w:val="007B7B31"/>
    <w:rsid w:val="007C1B1D"/>
    <w:rsid w:val="007C4BFA"/>
    <w:rsid w:val="007C4FCD"/>
    <w:rsid w:val="007D2BBD"/>
    <w:rsid w:val="007E11C7"/>
    <w:rsid w:val="007E4B37"/>
    <w:rsid w:val="007E4E8E"/>
    <w:rsid w:val="007F0E56"/>
    <w:rsid w:val="007F3EAC"/>
    <w:rsid w:val="00800A97"/>
    <w:rsid w:val="008022D1"/>
    <w:rsid w:val="008033CB"/>
    <w:rsid w:val="0080425C"/>
    <w:rsid w:val="008108C9"/>
    <w:rsid w:val="00815106"/>
    <w:rsid w:val="00821DB4"/>
    <w:rsid w:val="00822E76"/>
    <w:rsid w:val="00823E27"/>
    <w:rsid w:val="0082496F"/>
    <w:rsid w:val="00830817"/>
    <w:rsid w:val="00832B34"/>
    <w:rsid w:val="00833782"/>
    <w:rsid w:val="00837ABA"/>
    <w:rsid w:val="0084638B"/>
    <w:rsid w:val="00851BE0"/>
    <w:rsid w:val="00851F3E"/>
    <w:rsid w:val="00854CEA"/>
    <w:rsid w:val="008555A9"/>
    <w:rsid w:val="0086070B"/>
    <w:rsid w:val="00861C9C"/>
    <w:rsid w:val="00862DC6"/>
    <w:rsid w:val="00880F47"/>
    <w:rsid w:val="00884282"/>
    <w:rsid w:val="00894FE9"/>
    <w:rsid w:val="008A5817"/>
    <w:rsid w:val="008A6A84"/>
    <w:rsid w:val="008B6B5F"/>
    <w:rsid w:val="008C0A1E"/>
    <w:rsid w:val="008C0F5A"/>
    <w:rsid w:val="008D38DA"/>
    <w:rsid w:val="008D3D36"/>
    <w:rsid w:val="008E69B6"/>
    <w:rsid w:val="008F00DA"/>
    <w:rsid w:val="008F3D2E"/>
    <w:rsid w:val="008F4F18"/>
    <w:rsid w:val="00915BE4"/>
    <w:rsid w:val="0092623E"/>
    <w:rsid w:val="009265F3"/>
    <w:rsid w:val="00927424"/>
    <w:rsid w:val="00931362"/>
    <w:rsid w:val="00933420"/>
    <w:rsid w:val="0093672D"/>
    <w:rsid w:val="00940755"/>
    <w:rsid w:val="00942928"/>
    <w:rsid w:val="009463D0"/>
    <w:rsid w:val="009567D4"/>
    <w:rsid w:val="00956B6C"/>
    <w:rsid w:val="00964E75"/>
    <w:rsid w:val="00965176"/>
    <w:rsid w:val="00965439"/>
    <w:rsid w:val="00974632"/>
    <w:rsid w:val="0098168B"/>
    <w:rsid w:val="00985B24"/>
    <w:rsid w:val="009A58A4"/>
    <w:rsid w:val="009B1509"/>
    <w:rsid w:val="009B1DA3"/>
    <w:rsid w:val="009B5346"/>
    <w:rsid w:val="009D1B47"/>
    <w:rsid w:val="009D5947"/>
    <w:rsid w:val="009E14DC"/>
    <w:rsid w:val="009F60D7"/>
    <w:rsid w:val="009F7D29"/>
    <w:rsid w:val="00A00E17"/>
    <w:rsid w:val="00A0549D"/>
    <w:rsid w:val="00A07872"/>
    <w:rsid w:val="00A12233"/>
    <w:rsid w:val="00A149A4"/>
    <w:rsid w:val="00A169FB"/>
    <w:rsid w:val="00A26A0C"/>
    <w:rsid w:val="00A33885"/>
    <w:rsid w:val="00A417BE"/>
    <w:rsid w:val="00A430EA"/>
    <w:rsid w:val="00A43838"/>
    <w:rsid w:val="00A4406E"/>
    <w:rsid w:val="00A4739C"/>
    <w:rsid w:val="00A507A6"/>
    <w:rsid w:val="00A57CC6"/>
    <w:rsid w:val="00A601EE"/>
    <w:rsid w:val="00A66173"/>
    <w:rsid w:val="00A6648B"/>
    <w:rsid w:val="00A67A94"/>
    <w:rsid w:val="00A76291"/>
    <w:rsid w:val="00A83216"/>
    <w:rsid w:val="00A83876"/>
    <w:rsid w:val="00A849AA"/>
    <w:rsid w:val="00A85A48"/>
    <w:rsid w:val="00A927F6"/>
    <w:rsid w:val="00A93C49"/>
    <w:rsid w:val="00AA3244"/>
    <w:rsid w:val="00AB248C"/>
    <w:rsid w:val="00AB57C4"/>
    <w:rsid w:val="00AD0021"/>
    <w:rsid w:val="00AD5E4A"/>
    <w:rsid w:val="00AD7755"/>
    <w:rsid w:val="00AE00E6"/>
    <w:rsid w:val="00AE01D3"/>
    <w:rsid w:val="00AE10F8"/>
    <w:rsid w:val="00AE3F84"/>
    <w:rsid w:val="00AE4FA5"/>
    <w:rsid w:val="00AF302D"/>
    <w:rsid w:val="00B003FE"/>
    <w:rsid w:val="00B00B3C"/>
    <w:rsid w:val="00B06952"/>
    <w:rsid w:val="00B17E7E"/>
    <w:rsid w:val="00B33E38"/>
    <w:rsid w:val="00B35456"/>
    <w:rsid w:val="00B55270"/>
    <w:rsid w:val="00B57A08"/>
    <w:rsid w:val="00B62CA2"/>
    <w:rsid w:val="00B81779"/>
    <w:rsid w:val="00B81C29"/>
    <w:rsid w:val="00B82BBB"/>
    <w:rsid w:val="00B84048"/>
    <w:rsid w:val="00BA02F2"/>
    <w:rsid w:val="00BB09A1"/>
    <w:rsid w:val="00BB0B46"/>
    <w:rsid w:val="00BB13E6"/>
    <w:rsid w:val="00BC22D6"/>
    <w:rsid w:val="00BC5C19"/>
    <w:rsid w:val="00BD10E8"/>
    <w:rsid w:val="00BD1C8A"/>
    <w:rsid w:val="00BD7216"/>
    <w:rsid w:val="00BE3A93"/>
    <w:rsid w:val="00BE46CC"/>
    <w:rsid w:val="00BE6626"/>
    <w:rsid w:val="00BE7905"/>
    <w:rsid w:val="00BF14D1"/>
    <w:rsid w:val="00BF17CA"/>
    <w:rsid w:val="00BF4618"/>
    <w:rsid w:val="00C130AF"/>
    <w:rsid w:val="00C14DCF"/>
    <w:rsid w:val="00C3705C"/>
    <w:rsid w:val="00C46C7B"/>
    <w:rsid w:val="00C54E53"/>
    <w:rsid w:val="00C56D89"/>
    <w:rsid w:val="00C60973"/>
    <w:rsid w:val="00C64E87"/>
    <w:rsid w:val="00C6629E"/>
    <w:rsid w:val="00C74F28"/>
    <w:rsid w:val="00C76FC5"/>
    <w:rsid w:val="00C818E7"/>
    <w:rsid w:val="00C8209A"/>
    <w:rsid w:val="00C94A34"/>
    <w:rsid w:val="00CA017A"/>
    <w:rsid w:val="00CA0DAD"/>
    <w:rsid w:val="00CB12E6"/>
    <w:rsid w:val="00CB35D2"/>
    <w:rsid w:val="00CC048D"/>
    <w:rsid w:val="00CC0FEE"/>
    <w:rsid w:val="00CC5A8B"/>
    <w:rsid w:val="00CD1167"/>
    <w:rsid w:val="00CD4CEA"/>
    <w:rsid w:val="00CE7A73"/>
    <w:rsid w:val="00CF1738"/>
    <w:rsid w:val="00D114F4"/>
    <w:rsid w:val="00D1486B"/>
    <w:rsid w:val="00D17195"/>
    <w:rsid w:val="00D206EC"/>
    <w:rsid w:val="00D23A23"/>
    <w:rsid w:val="00D245EB"/>
    <w:rsid w:val="00D3372E"/>
    <w:rsid w:val="00D35EDA"/>
    <w:rsid w:val="00D4008B"/>
    <w:rsid w:val="00D41254"/>
    <w:rsid w:val="00D472EC"/>
    <w:rsid w:val="00D4743E"/>
    <w:rsid w:val="00D475FD"/>
    <w:rsid w:val="00D54CC9"/>
    <w:rsid w:val="00D55B9B"/>
    <w:rsid w:val="00D6400E"/>
    <w:rsid w:val="00D64452"/>
    <w:rsid w:val="00D7260C"/>
    <w:rsid w:val="00D77E23"/>
    <w:rsid w:val="00D87FDC"/>
    <w:rsid w:val="00D9317A"/>
    <w:rsid w:val="00D95A08"/>
    <w:rsid w:val="00D970D0"/>
    <w:rsid w:val="00DB2406"/>
    <w:rsid w:val="00DB2B20"/>
    <w:rsid w:val="00DD2D18"/>
    <w:rsid w:val="00DD4E2D"/>
    <w:rsid w:val="00DE05BB"/>
    <w:rsid w:val="00DE06B7"/>
    <w:rsid w:val="00DE22B7"/>
    <w:rsid w:val="00DE6747"/>
    <w:rsid w:val="00DF0A03"/>
    <w:rsid w:val="00DF4446"/>
    <w:rsid w:val="00E044EA"/>
    <w:rsid w:val="00E10E74"/>
    <w:rsid w:val="00E112F5"/>
    <w:rsid w:val="00E2109E"/>
    <w:rsid w:val="00E23A26"/>
    <w:rsid w:val="00E30742"/>
    <w:rsid w:val="00E31D53"/>
    <w:rsid w:val="00E442E4"/>
    <w:rsid w:val="00E44490"/>
    <w:rsid w:val="00E53AA2"/>
    <w:rsid w:val="00E55470"/>
    <w:rsid w:val="00E55DA8"/>
    <w:rsid w:val="00E64D57"/>
    <w:rsid w:val="00E665DC"/>
    <w:rsid w:val="00E6680F"/>
    <w:rsid w:val="00E70FC9"/>
    <w:rsid w:val="00E73D30"/>
    <w:rsid w:val="00E73F29"/>
    <w:rsid w:val="00E74F48"/>
    <w:rsid w:val="00E872AC"/>
    <w:rsid w:val="00E97232"/>
    <w:rsid w:val="00EA021E"/>
    <w:rsid w:val="00EA429A"/>
    <w:rsid w:val="00EB36F9"/>
    <w:rsid w:val="00EB4AD9"/>
    <w:rsid w:val="00EB5638"/>
    <w:rsid w:val="00EB7A49"/>
    <w:rsid w:val="00EC0AF5"/>
    <w:rsid w:val="00EC15AA"/>
    <w:rsid w:val="00ED1618"/>
    <w:rsid w:val="00ED5D30"/>
    <w:rsid w:val="00EE1902"/>
    <w:rsid w:val="00EE35A4"/>
    <w:rsid w:val="00EE4231"/>
    <w:rsid w:val="00EF2509"/>
    <w:rsid w:val="00EF50AA"/>
    <w:rsid w:val="00F01DBB"/>
    <w:rsid w:val="00F02ED9"/>
    <w:rsid w:val="00F07F0F"/>
    <w:rsid w:val="00F10752"/>
    <w:rsid w:val="00F10E0C"/>
    <w:rsid w:val="00F17564"/>
    <w:rsid w:val="00F27A57"/>
    <w:rsid w:val="00F331BC"/>
    <w:rsid w:val="00F35969"/>
    <w:rsid w:val="00F41FE4"/>
    <w:rsid w:val="00F47EC5"/>
    <w:rsid w:val="00F50087"/>
    <w:rsid w:val="00F50E02"/>
    <w:rsid w:val="00F54134"/>
    <w:rsid w:val="00F60446"/>
    <w:rsid w:val="00F63FAA"/>
    <w:rsid w:val="00F72B91"/>
    <w:rsid w:val="00F917B7"/>
    <w:rsid w:val="00F94205"/>
    <w:rsid w:val="00F969CE"/>
    <w:rsid w:val="00FB40FE"/>
    <w:rsid w:val="00FB5F08"/>
    <w:rsid w:val="00FC112D"/>
    <w:rsid w:val="00FC6074"/>
    <w:rsid w:val="00FD0A78"/>
    <w:rsid w:val="00FD387A"/>
    <w:rsid w:val="00FE5FB9"/>
    <w:rsid w:val="00FE6554"/>
    <w:rsid w:val="00FE74D9"/>
    <w:rsid w:val="00FF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9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1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5971D8"/>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406"/>
    <w:pPr>
      <w:ind w:left="720"/>
      <w:contextualSpacing/>
    </w:pPr>
  </w:style>
  <w:style w:type="character" w:styleId="CommentReference">
    <w:name w:val="annotation reference"/>
    <w:basedOn w:val="DefaultParagraphFont"/>
    <w:uiPriority w:val="99"/>
    <w:semiHidden/>
    <w:unhideWhenUsed/>
    <w:rsid w:val="00DB2406"/>
    <w:rPr>
      <w:sz w:val="16"/>
      <w:szCs w:val="16"/>
    </w:rPr>
  </w:style>
  <w:style w:type="paragraph" w:styleId="CommentText">
    <w:name w:val="annotation text"/>
    <w:basedOn w:val="Normal"/>
    <w:link w:val="CommentTextChar"/>
    <w:uiPriority w:val="99"/>
    <w:semiHidden/>
    <w:unhideWhenUsed/>
    <w:rsid w:val="00DB2406"/>
    <w:pPr>
      <w:spacing w:after="160"/>
    </w:pPr>
    <w:rPr>
      <w:sz w:val="20"/>
      <w:szCs w:val="20"/>
    </w:rPr>
  </w:style>
  <w:style w:type="character" w:customStyle="1" w:styleId="CommentTextChar">
    <w:name w:val="Comment Text Char"/>
    <w:basedOn w:val="DefaultParagraphFont"/>
    <w:link w:val="CommentText"/>
    <w:uiPriority w:val="99"/>
    <w:semiHidden/>
    <w:rsid w:val="00DB2406"/>
    <w:rPr>
      <w:sz w:val="20"/>
      <w:szCs w:val="20"/>
    </w:rPr>
  </w:style>
  <w:style w:type="paragraph" w:styleId="BalloonText">
    <w:name w:val="Balloon Text"/>
    <w:basedOn w:val="Normal"/>
    <w:link w:val="BalloonTextChar"/>
    <w:uiPriority w:val="99"/>
    <w:semiHidden/>
    <w:unhideWhenUsed/>
    <w:rsid w:val="00DB2406"/>
    <w:rPr>
      <w:rFonts w:ascii="Tahoma" w:hAnsi="Tahoma" w:cs="Tahoma"/>
      <w:sz w:val="16"/>
      <w:szCs w:val="16"/>
    </w:rPr>
  </w:style>
  <w:style w:type="character" w:customStyle="1" w:styleId="BalloonTextChar">
    <w:name w:val="Balloon Text Char"/>
    <w:basedOn w:val="DefaultParagraphFont"/>
    <w:link w:val="BalloonText"/>
    <w:uiPriority w:val="99"/>
    <w:semiHidden/>
    <w:rsid w:val="00DB2406"/>
    <w:rPr>
      <w:rFonts w:ascii="Tahoma" w:hAnsi="Tahoma" w:cs="Tahoma"/>
      <w:sz w:val="16"/>
      <w:szCs w:val="16"/>
    </w:rPr>
  </w:style>
  <w:style w:type="paragraph" w:styleId="EndnoteText">
    <w:name w:val="endnote text"/>
    <w:basedOn w:val="Normal"/>
    <w:link w:val="EndnoteTextChar"/>
    <w:uiPriority w:val="99"/>
    <w:semiHidden/>
    <w:unhideWhenUsed/>
    <w:rsid w:val="00A26A0C"/>
    <w:rPr>
      <w:sz w:val="20"/>
      <w:szCs w:val="20"/>
    </w:rPr>
  </w:style>
  <w:style w:type="character" w:customStyle="1" w:styleId="EndnoteTextChar">
    <w:name w:val="Endnote Text Char"/>
    <w:basedOn w:val="DefaultParagraphFont"/>
    <w:link w:val="EndnoteText"/>
    <w:uiPriority w:val="99"/>
    <w:semiHidden/>
    <w:rsid w:val="00A26A0C"/>
    <w:rPr>
      <w:sz w:val="20"/>
      <w:szCs w:val="20"/>
    </w:rPr>
  </w:style>
  <w:style w:type="character" w:styleId="EndnoteReference">
    <w:name w:val="endnote reference"/>
    <w:basedOn w:val="DefaultParagraphFont"/>
    <w:uiPriority w:val="99"/>
    <w:semiHidden/>
    <w:unhideWhenUsed/>
    <w:rsid w:val="00A26A0C"/>
    <w:rPr>
      <w:vertAlign w:val="superscript"/>
    </w:rPr>
  </w:style>
  <w:style w:type="paragraph" w:styleId="FootnoteText">
    <w:name w:val="footnote text"/>
    <w:aliases w:val="5_G,Footnote Text Char Char Char Char Char,Footnote Text Char Char Char Char,Footnote reference,FA Fu,Footnote Text Char Char Char,Footnote Reference1,Char,ft,Style 27,Char Char Char Char Char,Style 11,Char Char Char"/>
    <w:basedOn w:val="Normal"/>
    <w:link w:val="FootnoteTextChar"/>
    <w:semiHidden/>
    <w:unhideWhenUsed/>
    <w:qFormat/>
    <w:rsid w:val="005822BD"/>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ft Char,Style 27 Char,Style 11 Char"/>
    <w:basedOn w:val="DefaultParagraphFont"/>
    <w:link w:val="FootnoteText"/>
    <w:semiHidden/>
    <w:rsid w:val="005822BD"/>
    <w:rPr>
      <w:sz w:val="20"/>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Appel note de bas de p."/>
    <w:basedOn w:val="DefaultParagraphFont"/>
    <w:semiHidden/>
    <w:unhideWhenUsed/>
    <w:qFormat/>
    <w:rsid w:val="005822BD"/>
    <w:rPr>
      <w:vertAlign w:val="superscript"/>
    </w:rPr>
  </w:style>
  <w:style w:type="character" w:styleId="Hyperlink">
    <w:name w:val="Hyperlink"/>
    <w:basedOn w:val="DefaultParagraphFont"/>
    <w:uiPriority w:val="99"/>
    <w:unhideWhenUsed/>
    <w:rsid w:val="00252E6C"/>
    <w:rPr>
      <w:color w:val="0000FF" w:themeColor="hyperlink"/>
      <w:u w:val="single"/>
    </w:rPr>
  </w:style>
  <w:style w:type="table" w:styleId="TableGrid">
    <w:name w:val="Table Grid"/>
    <w:basedOn w:val="TableNormal"/>
    <w:uiPriority w:val="59"/>
    <w:rsid w:val="00B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00A97"/>
    <w:pPr>
      <w:spacing w:after="0"/>
    </w:pPr>
    <w:rPr>
      <w:b/>
      <w:bCs/>
    </w:rPr>
  </w:style>
  <w:style w:type="character" w:customStyle="1" w:styleId="CommentSubjectChar">
    <w:name w:val="Comment Subject Char"/>
    <w:basedOn w:val="CommentTextChar"/>
    <w:link w:val="CommentSubject"/>
    <w:uiPriority w:val="99"/>
    <w:semiHidden/>
    <w:rsid w:val="00800A97"/>
    <w:rPr>
      <w:b/>
      <w:bCs/>
      <w:sz w:val="20"/>
      <w:szCs w:val="20"/>
    </w:rPr>
  </w:style>
  <w:style w:type="character" w:styleId="Emphasis">
    <w:name w:val="Emphasis"/>
    <w:basedOn w:val="DefaultParagraphFont"/>
    <w:uiPriority w:val="20"/>
    <w:qFormat/>
    <w:rsid w:val="00094BBC"/>
    <w:rPr>
      <w:i/>
      <w:iCs/>
    </w:rPr>
  </w:style>
  <w:style w:type="character" w:customStyle="1" w:styleId="Heading6Char">
    <w:name w:val="Heading 6 Char"/>
    <w:basedOn w:val="DefaultParagraphFont"/>
    <w:link w:val="Heading6"/>
    <w:uiPriority w:val="9"/>
    <w:rsid w:val="005971D8"/>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5971D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6747"/>
    <w:rPr>
      <w:b/>
      <w:bCs/>
    </w:rPr>
  </w:style>
  <w:style w:type="character" w:customStyle="1" w:styleId="x-el">
    <w:name w:val="x-el"/>
    <w:basedOn w:val="DefaultParagraphFont"/>
    <w:rsid w:val="008033CB"/>
  </w:style>
  <w:style w:type="character" w:customStyle="1" w:styleId="markedcontent">
    <w:name w:val="markedcontent"/>
    <w:basedOn w:val="DefaultParagraphFont"/>
    <w:rsid w:val="00741DAD"/>
  </w:style>
  <w:style w:type="character" w:customStyle="1" w:styleId="None">
    <w:name w:val="None"/>
    <w:rsid w:val="000D2E9F"/>
  </w:style>
  <w:style w:type="character" w:customStyle="1" w:styleId="Heading1Char">
    <w:name w:val="Heading 1 Char"/>
    <w:basedOn w:val="DefaultParagraphFont"/>
    <w:link w:val="Heading1"/>
    <w:uiPriority w:val="9"/>
    <w:rsid w:val="00F969CE"/>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E55DA8"/>
  </w:style>
  <w:style w:type="character" w:customStyle="1" w:styleId="Date1">
    <w:name w:val="Date1"/>
    <w:basedOn w:val="DefaultParagraphFont"/>
    <w:rsid w:val="00E55DA8"/>
  </w:style>
  <w:style w:type="character" w:customStyle="1" w:styleId="arttitle">
    <w:name w:val="art_title"/>
    <w:basedOn w:val="DefaultParagraphFont"/>
    <w:rsid w:val="00E55DA8"/>
  </w:style>
  <w:style w:type="character" w:customStyle="1" w:styleId="serialtitle">
    <w:name w:val="serial_title"/>
    <w:basedOn w:val="DefaultParagraphFont"/>
    <w:rsid w:val="00E55DA8"/>
  </w:style>
  <w:style w:type="character" w:styleId="FollowedHyperlink">
    <w:name w:val="FollowedHyperlink"/>
    <w:basedOn w:val="DefaultParagraphFont"/>
    <w:uiPriority w:val="99"/>
    <w:semiHidden/>
    <w:unhideWhenUsed/>
    <w:rsid w:val="000A4443"/>
    <w:rPr>
      <w:color w:val="800080" w:themeColor="followedHyperlink"/>
      <w:u w:val="single"/>
    </w:rPr>
  </w:style>
  <w:style w:type="character" w:customStyle="1" w:styleId="UnresolvedMention1">
    <w:name w:val="Unresolved Mention1"/>
    <w:basedOn w:val="DefaultParagraphFont"/>
    <w:uiPriority w:val="99"/>
    <w:semiHidden/>
    <w:unhideWhenUsed/>
    <w:rsid w:val="00D472EC"/>
    <w:rPr>
      <w:color w:val="605E5C"/>
      <w:shd w:val="clear" w:color="auto" w:fill="E1DFDD"/>
    </w:rPr>
  </w:style>
  <w:style w:type="paragraph" w:styleId="Revision">
    <w:name w:val="Revision"/>
    <w:hidden/>
    <w:uiPriority w:val="99"/>
    <w:semiHidden/>
    <w:rsid w:val="00204DF8"/>
  </w:style>
  <w:style w:type="paragraph" w:styleId="Header">
    <w:name w:val="header"/>
    <w:basedOn w:val="Normal"/>
    <w:link w:val="HeaderChar"/>
    <w:uiPriority w:val="99"/>
    <w:unhideWhenUsed/>
    <w:rsid w:val="0093672D"/>
    <w:pPr>
      <w:tabs>
        <w:tab w:val="center" w:pos="4513"/>
        <w:tab w:val="right" w:pos="9026"/>
      </w:tabs>
    </w:pPr>
  </w:style>
  <w:style w:type="character" w:customStyle="1" w:styleId="HeaderChar">
    <w:name w:val="Header Char"/>
    <w:basedOn w:val="DefaultParagraphFont"/>
    <w:link w:val="Header"/>
    <w:uiPriority w:val="99"/>
    <w:rsid w:val="0093672D"/>
  </w:style>
  <w:style w:type="paragraph" w:styleId="Footer">
    <w:name w:val="footer"/>
    <w:basedOn w:val="Normal"/>
    <w:link w:val="FooterChar"/>
    <w:uiPriority w:val="99"/>
    <w:unhideWhenUsed/>
    <w:rsid w:val="0093672D"/>
    <w:pPr>
      <w:tabs>
        <w:tab w:val="center" w:pos="4513"/>
        <w:tab w:val="right" w:pos="9026"/>
      </w:tabs>
    </w:pPr>
  </w:style>
  <w:style w:type="character" w:customStyle="1" w:styleId="FooterChar">
    <w:name w:val="Footer Char"/>
    <w:basedOn w:val="DefaultParagraphFont"/>
    <w:link w:val="Footer"/>
    <w:uiPriority w:val="99"/>
    <w:rsid w:val="0093672D"/>
  </w:style>
  <w:style w:type="character" w:customStyle="1" w:styleId="UnresolvedMention2">
    <w:name w:val="Unresolved Mention2"/>
    <w:basedOn w:val="DefaultParagraphFont"/>
    <w:uiPriority w:val="99"/>
    <w:semiHidden/>
    <w:unhideWhenUsed/>
    <w:rsid w:val="00365F8A"/>
    <w:rPr>
      <w:color w:val="605E5C"/>
      <w:shd w:val="clear" w:color="auto" w:fill="E1DFDD"/>
    </w:rPr>
  </w:style>
  <w:style w:type="character" w:customStyle="1" w:styleId="itemtitle">
    <w:name w:val="itemtitle"/>
    <w:basedOn w:val="DefaultParagraphFont"/>
    <w:rsid w:val="00041158"/>
  </w:style>
  <w:style w:type="character" w:customStyle="1" w:styleId="Heading2Char">
    <w:name w:val="Heading 2 Char"/>
    <w:basedOn w:val="DefaultParagraphFont"/>
    <w:link w:val="Heading2"/>
    <w:uiPriority w:val="9"/>
    <w:rsid w:val="00041158"/>
    <w:rPr>
      <w:rFonts w:asciiTheme="majorHAnsi" w:eastAsiaTheme="majorEastAsia" w:hAnsiTheme="majorHAnsi" w:cstheme="majorBidi"/>
      <w:b/>
      <w:bCs/>
      <w:color w:val="4F81BD" w:themeColor="accent1"/>
      <w:sz w:val="26"/>
      <w:szCs w:val="26"/>
    </w:rPr>
  </w:style>
  <w:style w:type="character" w:customStyle="1" w:styleId="field-wrapper">
    <w:name w:val="field-wrapper"/>
    <w:basedOn w:val="DefaultParagraphFont"/>
    <w:rsid w:val="00724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9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1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5971D8"/>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406"/>
    <w:pPr>
      <w:ind w:left="720"/>
      <w:contextualSpacing/>
    </w:pPr>
  </w:style>
  <w:style w:type="character" w:styleId="CommentReference">
    <w:name w:val="annotation reference"/>
    <w:basedOn w:val="DefaultParagraphFont"/>
    <w:uiPriority w:val="99"/>
    <w:semiHidden/>
    <w:unhideWhenUsed/>
    <w:rsid w:val="00DB2406"/>
    <w:rPr>
      <w:sz w:val="16"/>
      <w:szCs w:val="16"/>
    </w:rPr>
  </w:style>
  <w:style w:type="paragraph" w:styleId="CommentText">
    <w:name w:val="annotation text"/>
    <w:basedOn w:val="Normal"/>
    <w:link w:val="CommentTextChar"/>
    <w:uiPriority w:val="99"/>
    <w:semiHidden/>
    <w:unhideWhenUsed/>
    <w:rsid w:val="00DB2406"/>
    <w:pPr>
      <w:spacing w:after="160"/>
    </w:pPr>
    <w:rPr>
      <w:sz w:val="20"/>
      <w:szCs w:val="20"/>
    </w:rPr>
  </w:style>
  <w:style w:type="character" w:customStyle="1" w:styleId="CommentTextChar">
    <w:name w:val="Comment Text Char"/>
    <w:basedOn w:val="DefaultParagraphFont"/>
    <w:link w:val="CommentText"/>
    <w:uiPriority w:val="99"/>
    <w:semiHidden/>
    <w:rsid w:val="00DB2406"/>
    <w:rPr>
      <w:sz w:val="20"/>
      <w:szCs w:val="20"/>
    </w:rPr>
  </w:style>
  <w:style w:type="paragraph" w:styleId="BalloonText">
    <w:name w:val="Balloon Text"/>
    <w:basedOn w:val="Normal"/>
    <w:link w:val="BalloonTextChar"/>
    <w:uiPriority w:val="99"/>
    <w:semiHidden/>
    <w:unhideWhenUsed/>
    <w:rsid w:val="00DB2406"/>
    <w:rPr>
      <w:rFonts w:ascii="Tahoma" w:hAnsi="Tahoma" w:cs="Tahoma"/>
      <w:sz w:val="16"/>
      <w:szCs w:val="16"/>
    </w:rPr>
  </w:style>
  <w:style w:type="character" w:customStyle="1" w:styleId="BalloonTextChar">
    <w:name w:val="Balloon Text Char"/>
    <w:basedOn w:val="DefaultParagraphFont"/>
    <w:link w:val="BalloonText"/>
    <w:uiPriority w:val="99"/>
    <w:semiHidden/>
    <w:rsid w:val="00DB2406"/>
    <w:rPr>
      <w:rFonts w:ascii="Tahoma" w:hAnsi="Tahoma" w:cs="Tahoma"/>
      <w:sz w:val="16"/>
      <w:szCs w:val="16"/>
    </w:rPr>
  </w:style>
  <w:style w:type="paragraph" w:styleId="EndnoteText">
    <w:name w:val="endnote text"/>
    <w:basedOn w:val="Normal"/>
    <w:link w:val="EndnoteTextChar"/>
    <w:uiPriority w:val="99"/>
    <w:semiHidden/>
    <w:unhideWhenUsed/>
    <w:rsid w:val="00A26A0C"/>
    <w:rPr>
      <w:sz w:val="20"/>
      <w:szCs w:val="20"/>
    </w:rPr>
  </w:style>
  <w:style w:type="character" w:customStyle="1" w:styleId="EndnoteTextChar">
    <w:name w:val="Endnote Text Char"/>
    <w:basedOn w:val="DefaultParagraphFont"/>
    <w:link w:val="EndnoteText"/>
    <w:uiPriority w:val="99"/>
    <w:semiHidden/>
    <w:rsid w:val="00A26A0C"/>
    <w:rPr>
      <w:sz w:val="20"/>
      <w:szCs w:val="20"/>
    </w:rPr>
  </w:style>
  <w:style w:type="character" w:styleId="EndnoteReference">
    <w:name w:val="endnote reference"/>
    <w:basedOn w:val="DefaultParagraphFont"/>
    <w:uiPriority w:val="99"/>
    <w:semiHidden/>
    <w:unhideWhenUsed/>
    <w:rsid w:val="00A26A0C"/>
    <w:rPr>
      <w:vertAlign w:val="superscript"/>
    </w:rPr>
  </w:style>
  <w:style w:type="paragraph" w:styleId="FootnoteText">
    <w:name w:val="footnote text"/>
    <w:aliases w:val="5_G,Footnote Text Char Char Char Char Char,Footnote Text Char Char Char Char,Footnote reference,FA Fu,Footnote Text Char Char Char,Footnote Reference1,Char,ft,Style 27,Char Char Char Char Char,Style 11,Char Char Char"/>
    <w:basedOn w:val="Normal"/>
    <w:link w:val="FootnoteTextChar"/>
    <w:semiHidden/>
    <w:unhideWhenUsed/>
    <w:qFormat/>
    <w:rsid w:val="005822BD"/>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ft Char,Style 27 Char,Style 11 Char"/>
    <w:basedOn w:val="DefaultParagraphFont"/>
    <w:link w:val="FootnoteText"/>
    <w:semiHidden/>
    <w:rsid w:val="005822BD"/>
    <w:rPr>
      <w:sz w:val="20"/>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Appel note de bas de p."/>
    <w:basedOn w:val="DefaultParagraphFont"/>
    <w:semiHidden/>
    <w:unhideWhenUsed/>
    <w:qFormat/>
    <w:rsid w:val="005822BD"/>
    <w:rPr>
      <w:vertAlign w:val="superscript"/>
    </w:rPr>
  </w:style>
  <w:style w:type="character" w:styleId="Hyperlink">
    <w:name w:val="Hyperlink"/>
    <w:basedOn w:val="DefaultParagraphFont"/>
    <w:uiPriority w:val="99"/>
    <w:unhideWhenUsed/>
    <w:rsid w:val="00252E6C"/>
    <w:rPr>
      <w:color w:val="0000FF" w:themeColor="hyperlink"/>
      <w:u w:val="single"/>
    </w:rPr>
  </w:style>
  <w:style w:type="table" w:styleId="TableGrid">
    <w:name w:val="Table Grid"/>
    <w:basedOn w:val="TableNormal"/>
    <w:uiPriority w:val="59"/>
    <w:rsid w:val="00B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00A97"/>
    <w:pPr>
      <w:spacing w:after="0"/>
    </w:pPr>
    <w:rPr>
      <w:b/>
      <w:bCs/>
    </w:rPr>
  </w:style>
  <w:style w:type="character" w:customStyle="1" w:styleId="CommentSubjectChar">
    <w:name w:val="Comment Subject Char"/>
    <w:basedOn w:val="CommentTextChar"/>
    <w:link w:val="CommentSubject"/>
    <w:uiPriority w:val="99"/>
    <w:semiHidden/>
    <w:rsid w:val="00800A97"/>
    <w:rPr>
      <w:b/>
      <w:bCs/>
      <w:sz w:val="20"/>
      <w:szCs w:val="20"/>
    </w:rPr>
  </w:style>
  <w:style w:type="character" w:styleId="Emphasis">
    <w:name w:val="Emphasis"/>
    <w:basedOn w:val="DefaultParagraphFont"/>
    <w:uiPriority w:val="20"/>
    <w:qFormat/>
    <w:rsid w:val="00094BBC"/>
    <w:rPr>
      <w:i/>
      <w:iCs/>
    </w:rPr>
  </w:style>
  <w:style w:type="character" w:customStyle="1" w:styleId="Heading6Char">
    <w:name w:val="Heading 6 Char"/>
    <w:basedOn w:val="DefaultParagraphFont"/>
    <w:link w:val="Heading6"/>
    <w:uiPriority w:val="9"/>
    <w:rsid w:val="005971D8"/>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5971D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6747"/>
    <w:rPr>
      <w:b/>
      <w:bCs/>
    </w:rPr>
  </w:style>
  <w:style w:type="character" w:customStyle="1" w:styleId="x-el">
    <w:name w:val="x-el"/>
    <w:basedOn w:val="DefaultParagraphFont"/>
    <w:rsid w:val="008033CB"/>
  </w:style>
  <w:style w:type="character" w:customStyle="1" w:styleId="markedcontent">
    <w:name w:val="markedcontent"/>
    <w:basedOn w:val="DefaultParagraphFont"/>
    <w:rsid w:val="00741DAD"/>
  </w:style>
  <w:style w:type="character" w:customStyle="1" w:styleId="None">
    <w:name w:val="None"/>
    <w:rsid w:val="000D2E9F"/>
  </w:style>
  <w:style w:type="character" w:customStyle="1" w:styleId="Heading1Char">
    <w:name w:val="Heading 1 Char"/>
    <w:basedOn w:val="DefaultParagraphFont"/>
    <w:link w:val="Heading1"/>
    <w:uiPriority w:val="9"/>
    <w:rsid w:val="00F969CE"/>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E55DA8"/>
  </w:style>
  <w:style w:type="character" w:customStyle="1" w:styleId="Date1">
    <w:name w:val="Date1"/>
    <w:basedOn w:val="DefaultParagraphFont"/>
    <w:rsid w:val="00E55DA8"/>
  </w:style>
  <w:style w:type="character" w:customStyle="1" w:styleId="arttitle">
    <w:name w:val="art_title"/>
    <w:basedOn w:val="DefaultParagraphFont"/>
    <w:rsid w:val="00E55DA8"/>
  </w:style>
  <w:style w:type="character" w:customStyle="1" w:styleId="serialtitle">
    <w:name w:val="serial_title"/>
    <w:basedOn w:val="DefaultParagraphFont"/>
    <w:rsid w:val="00E55DA8"/>
  </w:style>
  <w:style w:type="character" w:styleId="FollowedHyperlink">
    <w:name w:val="FollowedHyperlink"/>
    <w:basedOn w:val="DefaultParagraphFont"/>
    <w:uiPriority w:val="99"/>
    <w:semiHidden/>
    <w:unhideWhenUsed/>
    <w:rsid w:val="000A4443"/>
    <w:rPr>
      <w:color w:val="800080" w:themeColor="followedHyperlink"/>
      <w:u w:val="single"/>
    </w:rPr>
  </w:style>
  <w:style w:type="character" w:customStyle="1" w:styleId="UnresolvedMention1">
    <w:name w:val="Unresolved Mention1"/>
    <w:basedOn w:val="DefaultParagraphFont"/>
    <w:uiPriority w:val="99"/>
    <w:semiHidden/>
    <w:unhideWhenUsed/>
    <w:rsid w:val="00D472EC"/>
    <w:rPr>
      <w:color w:val="605E5C"/>
      <w:shd w:val="clear" w:color="auto" w:fill="E1DFDD"/>
    </w:rPr>
  </w:style>
  <w:style w:type="paragraph" w:styleId="Revision">
    <w:name w:val="Revision"/>
    <w:hidden/>
    <w:uiPriority w:val="99"/>
    <w:semiHidden/>
    <w:rsid w:val="00204DF8"/>
  </w:style>
  <w:style w:type="paragraph" w:styleId="Header">
    <w:name w:val="header"/>
    <w:basedOn w:val="Normal"/>
    <w:link w:val="HeaderChar"/>
    <w:uiPriority w:val="99"/>
    <w:unhideWhenUsed/>
    <w:rsid w:val="0093672D"/>
    <w:pPr>
      <w:tabs>
        <w:tab w:val="center" w:pos="4513"/>
        <w:tab w:val="right" w:pos="9026"/>
      </w:tabs>
    </w:pPr>
  </w:style>
  <w:style w:type="character" w:customStyle="1" w:styleId="HeaderChar">
    <w:name w:val="Header Char"/>
    <w:basedOn w:val="DefaultParagraphFont"/>
    <w:link w:val="Header"/>
    <w:uiPriority w:val="99"/>
    <w:rsid w:val="0093672D"/>
  </w:style>
  <w:style w:type="paragraph" w:styleId="Footer">
    <w:name w:val="footer"/>
    <w:basedOn w:val="Normal"/>
    <w:link w:val="FooterChar"/>
    <w:uiPriority w:val="99"/>
    <w:unhideWhenUsed/>
    <w:rsid w:val="0093672D"/>
    <w:pPr>
      <w:tabs>
        <w:tab w:val="center" w:pos="4513"/>
        <w:tab w:val="right" w:pos="9026"/>
      </w:tabs>
    </w:pPr>
  </w:style>
  <w:style w:type="character" w:customStyle="1" w:styleId="FooterChar">
    <w:name w:val="Footer Char"/>
    <w:basedOn w:val="DefaultParagraphFont"/>
    <w:link w:val="Footer"/>
    <w:uiPriority w:val="99"/>
    <w:rsid w:val="0093672D"/>
  </w:style>
  <w:style w:type="character" w:customStyle="1" w:styleId="UnresolvedMention2">
    <w:name w:val="Unresolved Mention2"/>
    <w:basedOn w:val="DefaultParagraphFont"/>
    <w:uiPriority w:val="99"/>
    <w:semiHidden/>
    <w:unhideWhenUsed/>
    <w:rsid w:val="00365F8A"/>
    <w:rPr>
      <w:color w:val="605E5C"/>
      <w:shd w:val="clear" w:color="auto" w:fill="E1DFDD"/>
    </w:rPr>
  </w:style>
  <w:style w:type="character" w:customStyle="1" w:styleId="itemtitle">
    <w:name w:val="itemtitle"/>
    <w:basedOn w:val="DefaultParagraphFont"/>
    <w:rsid w:val="00041158"/>
  </w:style>
  <w:style w:type="character" w:customStyle="1" w:styleId="Heading2Char">
    <w:name w:val="Heading 2 Char"/>
    <w:basedOn w:val="DefaultParagraphFont"/>
    <w:link w:val="Heading2"/>
    <w:uiPriority w:val="9"/>
    <w:rsid w:val="00041158"/>
    <w:rPr>
      <w:rFonts w:asciiTheme="majorHAnsi" w:eastAsiaTheme="majorEastAsia" w:hAnsiTheme="majorHAnsi" w:cstheme="majorBidi"/>
      <w:b/>
      <w:bCs/>
      <w:color w:val="4F81BD" w:themeColor="accent1"/>
      <w:sz w:val="26"/>
      <w:szCs w:val="26"/>
    </w:rPr>
  </w:style>
  <w:style w:type="character" w:customStyle="1" w:styleId="field-wrapper">
    <w:name w:val="field-wrapper"/>
    <w:basedOn w:val="DefaultParagraphFont"/>
    <w:rsid w:val="0072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0066">
      <w:bodyDiv w:val="1"/>
      <w:marLeft w:val="0"/>
      <w:marRight w:val="0"/>
      <w:marTop w:val="0"/>
      <w:marBottom w:val="0"/>
      <w:divBdr>
        <w:top w:val="none" w:sz="0" w:space="0" w:color="auto"/>
        <w:left w:val="none" w:sz="0" w:space="0" w:color="auto"/>
        <w:bottom w:val="none" w:sz="0" w:space="0" w:color="auto"/>
        <w:right w:val="none" w:sz="0" w:space="0" w:color="auto"/>
      </w:divBdr>
    </w:div>
    <w:div w:id="160052109">
      <w:bodyDiv w:val="1"/>
      <w:marLeft w:val="0"/>
      <w:marRight w:val="0"/>
      <w:marTop w:val="0"/>
      <w:marBottom w:val="0"/>
      <w:divBdr>
        <w:top w:val="none" w:sz="0" w:space="0" w:color="auto"/>
        <w:left w:val="none" w:sz="0" w:space="0" w:color="auto"/>
        <w:bottom w:val="none" w:sz="0" w:space="0" w:color="auto"/>
        <w:right w:val="none" w:sz="0" w:space="0" w:color="auto"/>
      </w:divBdr>
    </w:div>
    <w:div w:id="217324090">
      <w:bodyDiv w:val="1"/>
      <w:marLeft w:val="0"/>
      <w:marRight w:val="0"/>
      <w:marTop w:val="0"/>
      <w:marBottom w:val="0"/>
      <w:divBdr>
        <w:top w:val="none" w:sz="0" w:space="0" w:color="auto"/>
        <w:left w:val="none" w:sz="0" w:space="0" w:color="auto"/>
        <w:bottom w:val="none" w:sz="0" w:space="0" w:color="auto"/>
        <w:right w:val="none" w:sz="0" w:space="0" w:color="auto"/>
      </w:divBdr>
    </w:div>
    <w:div w:id="448012073">
      <w:bodyDiv w:val="1"/>
      <w:marLeft w:val="0"/>
      <w:marRight w:val="0"/>
      <w:marTop w:val="0"/>
      <w:marBottom w:val="0"/>
      <w:divBdr>
        <w:top w:val="none" w:sz="0" w:space="0" w:color="auto"/>
        <w:left w:val="none" w:sz="0" w:space="0" w:color="auto"/>
        <w:bottom w:val="none" w:sz="0" w:space="0" w:color="auto"/>
        <w:right w:val="none" w:sz="0" w:space="0" w:color="auto"/>
      </w:divBdr>
    </w:div>
    <w:div w:id="468287290">
      <w:bodyDiv w:val="1"/>
      <w:marLeft w:val="0"/>
      <w:marRight w:val="0"/>
      <w:marTop w:val="0"/>
      <w:marBottom w:val="0"/>
      <w:divBdr>
        <w:top w:val="none" w:sz="0" w:space="0" w:color="auto"/>
        <w:left w:val="none" w:sz="0" w:space="0" w:color="auto"/>
        <w:bottom w:val="none" w:sz="0" w:space="0" w:color="auto"/>
        <w:right w:val="none" w:sz="0" w:space="0" w:color="auto"/>
      </w:divBdr>
    </w:div>
    <w:div w:id="524906860">
      <w:bodyDiv w:val="1"/>
      <w:marLeft w:val="0"/>
      <w:marRight w:val="0"/>
      <w:marTop w:val="0"/>
      <w:marBottom w:val="0"/>
      <w:divBdr>
        <w:top w:val="none" w:sz="0" w:space="0" w:color="auto"/>
        <w:left w:val="none" w:sz="0" w:space="0" w:color="auto"/>
        <w:bottom w:val="none" w:sz="0" w:space="0" w:color="auto"/>
        <w:right w:val="none" w:sz="0" w:space="0" w:color="auto"/>
      </w:divBdr>
    </w:div>
    <w:div w:id="644549299">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83941210">
      <w:bodyDiv w:val="1"/>
      <w:marLeft w:val="0"/>
      <w:marRight w:val="0"/>
      <w:marTop w:val="0"/>
      <w:marBottom w:val="0"/>
      <w:divBdr>
        <w:top w:val="none" w:sz="0" w:space="0" w:color="auto"/>
        <w:left w:val="none" w:sz="0" w:space="0" w:color="auto"/>
        <w:bottom w:val="none" w:sz="0" w:space="0" w:color="auto"/>
        <w:right w:val="none" w:sz="0" w:space="0" w:color="auto"/>
      </w:divBdr>
    </w:div>
    <w:div w:id="735014869">
      <w:bodyDiv w:val="1"/>
      <w:marLeft w:val="0"/>
      <w:marRight w:val="0"/>
      <w:marTop w:val="0"/>
      <w:marBottom w:val="0"/>
      <w:divBdr>
        <w:top w:val="none" w:sz="0" w:space="0" w:color="auto"/>
        <w:left w:val="none" w:sz="0" w:space="0" w:color="auto"/>
        <w:bottom w:val="none" w:sz="0" w:space="0" w:color="auto"/>
        <w:right w:val="none" w:sz="0" w:space="0" w:color="auto"/>
      </w:divBdr>
    </w:div>
    <w:div w:id="915672496">
      <w:bodyDiv w:val="1"/>
      <w:marLeft w:val="0"/>
      <w:marRight w:val="0"/>
      <w:marTop w:val="0"/>
      <w:marBottom w:val="0"/>
      <w:divBdr>
        <w:top w:val="none" w:sz="0" w:space="0" w:color="auto"/>
        <w:left w:val="none" w:sz="0" w:space="0" w:color="auto"/>
        <w:bottom w:val="none" w:sz="0" w:space="0" w:color="auto"/>
        <w:right w:val="none" w:sz="0" w:space="0" w:color="auto"/>
      </w:divBdr>
    </w:div>
    <w:div w:id="1049690866">
      <w:bodyDiv w:val="1"/>
      <w:marLeft w:val="0"/>
      <w:marRight w:val="0"/>
      <w:marTop w:val="0"/>
      <w:marBottom w:val="0"/>
      <w:divBdr>
        <w:top w:val="none" w:sz="0" w:space="0" w:color="auto"/>
        <w:left w:val="none" w:sz="0" w:space="0" w:color="auto"/>
        <w:bottom w:val="none" w:sz="0" w:space="0" w:color="auto"/>
        <w:right w:val="none" w:sz="0" w:space="0" w:color="auto"/>
      </w:divBdr>
    </w:div>
    <w:div w:id="1063257700">
      <w:bodyDiv w:val="1"/>
      <w:marLeft w:val="0"/>
      <w:marRight w:val="0"/>
      <w:marTop w:val="0"/>
      <w:marBottom w:val="0"/>
      <w:divBdr>
        <w:top w:val="none" w:sz="0" w:space="0" w:color="auto"/>
        <w:left w:val="none" w:sz="0" w:space="0" w:color="auto"/>
        <w:bottom w:val="none" w:sz="0" w:space="0" w:color="auto"/>
        <w:right w:val="none" w:sz="0" w:space="0" w:color="auto"/>
      </w:divBdr>
    </w:div>
    <w:div w:id="1130707610">
      <w:bodyDiv w:val="1"/>
      <w:marLeft w:val="0"/>
      <w:marRight w:val="0"/>
      <w:marTop w:val="0"/>
      <w:marBottom w:val="0"/>
      <w:divBdr>
        <w:top w:val="none" w:sz="0" w:space="0" w:color="auto"/>
        <w:left w:val="none" w:sz="0" w:space="0" w:color="auto"/>
        <w:bottom w:val="none" w:sz="0" w:space="0" w:color="auto"/>
        <w:right w:val="none" w:sz="0" w:space="0" w:color="auto"/>
      </w:divBdr>
    </w:div>
    <w:div w:id="1439369345">
      <w:bodyDiv w:val="1"/>
      <w:marLeft w:val="0"/>
      <w:marRight w:val="0"/>
      <w:marTop w:val="0"/>
      <w:marBottom w:val="0"/>
      <w:divBdr>
        <w:top w:val="none" w:sz="0" w:space="0" w:color="auto"/>
        <w:left w:val="none" w:sz="0" w:space="0" w:color="auto"/>
        <w:bottom w:val="none" w:sz="0" w:space="0" w:color="auto"/>
        <w:right w:val="none" w:sz="0" w:space="0" w:color="auto"/>
      </w:divBdr>
    </w:div>
    <w:div w:id="1452942558">
      <w:bodyDiv w:val="1"/>
      <w:marLeft w:val="0"/>
      <w:marRight w:val="0"/>
      <w:marTop w:val="0"/>
      <w:marBottom w:val="0"/>
      <w:divBdr>
        <w:top w:val="none" w:sz="0" w:space="0" w:color="auto"/>
        <w:left w:val="none" w:sz="0" w:space="0" w:color="auto"/>
        <w:bottom w:val="none" w:sz="0" w:space="0" w:color="auto"/>
        <w:right w:val="none" w:sz="0" w:space="0" w:color="auto"/>
      </w:divBdr>
    </w:div>
    <w:div w:id="1487740412">
      <w:bodyDiv w:val="1"/>
      <w:marLeft w:val="0"/>
      <w:marRight w:val="0"/>
      <w:marTop w:val="0"/>
      <w:marBottom w:val="0"/>
      <w:divBdr>
        <w:top w:val="none" w:sz="0" w:space="0" w:color="auto"/>
        <w:left w:val="none" w:sz="0" w:space="0" w:color="auto"/>
        <w:bottom w:val="none" w:sz="0" w:space="0" w:color="auto"/>
        <w:right w:val="none" w:sz="0" w:space="0" w:color="auto"/>
      </w:divBdr>
    </w:div>
    <w:div w:id="1523976493">
      <w:bodyDiv w:val="1"/>
      <w:marLeft w:val="0"/>
      <w:marRight w:val="0"/>
      <w:marTop w:val="0"/>
      <w:marBottom w:val="0"/>
      <w:divBdr>
        <w:top w:val="none" w:sz="0" w:space="0" w:color="auto"/>
        <w:left w:val="none" w:sz="0" w:space="0" w:color="auto"/>
        <w:bottom w:val="none" w:sz="0" w:space="0" w:color="auto"/>
        <w:right w:val="none" w:sz="0" w:space="0" w:color="auto"/>
      </w:divBdr>
    </w:div>
    <w:div w:id="1693140800">
      <w:bodyDiv w:val="1"/>
      <w:marLeft w:val="0"/>
      <w:marRight w:val="0"/>
      <w:marTop w:val="0"/>
      <w:marBottom w:val="0"/>
      <w:divBdr>
        <w:top w:val="none" w:sz="0" w:space="0" w:color="auto"/>
        <w:left w:val="none" w:sz="0" w:space="0" w:color="auto"/>
        <w:bottom w:val="none" w:sz="0" w:space="0" w:color="auto"/>
        <w:right w:val="none" w:sz="0" w:space="0" w:color="auto"/>
      </w:divBdr>
    </w:div>
    <w:div w:id="1727531866">
      <w:bodyDiv w:val="1"/>
      <w:marLeft w:val="0"/>
      <w:marRight w:val="0"/>
      <w:marTop w:val="0"/>
      <w:marBottom w:val="0"/>
      <w:divBdr>
        <w:top w:val="none" w:sz="0" w:space="0" w:color="auto"/>
        <w:left w:val="none" w:sz="0" w:space="0" w:color="auto"/>
        <w:bottom w:val="none" w:sz="0" w:space="0" w:color="auto"/>
        <w:right w:val="none" w:sz="0" w:space="0" w:color="auto"/>
      </w:divBdr>
    </w:div>
    <w:div w:id="1898465569">
      <w:bodyDiv w:val="1"/>
      <w:marLeft w:val="0"/>
      <w:marRight w:val="0"/>
      <w:marTop w:val="0"/>
      <w:marBottom w:val="0"/>
      <w:divBdr>
        <w:top w:val="none" w:sz="0" w:space="0" w:color="auto"/>
        <w:left w:val="none" w:sz="0" w:space="0" w:color="auto"/>
        <w:bottom w:val="none" w:sz="0" w:space="0" w:color="auto"/>
        <w:right w:val="none" w:sz="0" w:space="0" w:color="auto"/>
      </w:divBdr>
    </w:div>
    <w:div w:id="19914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essex.ac.uk/32642/1/Outlining%20a%20Human-Rights%20Based%20Approach%20to%20Digital%20Open%20Source%20Investigations.pdf" TargetMode="External"/><Relationship Id="rId18" Type="http://schemas.openxmlformats.org/officeDocument/2006/relationships/hyperlink" Target="https://huridocs.org/resource-library/monitoring-and-documenting-human-rights-violations/how-to-prepare-for-a-database/" TargetMode="External"/><Relationship Id="rId26" Type="http://schemas.openxmlformats.org/officeDocument/2006/relationships/hyperlink" Target="https://unsdg.un.org/resources/theory-change-undaf-companion-guidance" TargetMode="External"/><Relationship Id="rId3" Type="http://schemas.openxmlformats.org/officeDocument/2006/relationships/styles" Target="styles.xml"/><Relationship Id="rId21" Type="http://schemas.openxmlformats.org/officeDocument/2006/relationships/hyperlink" Target="https://www.bellingcat.com/resources/2021/11/01/a-beginners-guide-to-social-media-verification/"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opil.ouplaw.com/view/10.1093/law/9780198836063.001.0001/law-9780198836063" TargetMode="External"/><Relationship Id="rId17" Type="http://schemas.openxmlformats.org/officeDocument/2006/relationships/hyperlink" Target="https://holistic-security.tacticaltech.org/" TargetMode="External"/><Relationship Id="rId25" Type="http://schemas.openxmlformats.org/officeDocument/2006/relationships/hyperlink" Target="https://www.muradcode.com/murad-code"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bellingcat.com/resources/2021/11/09/first-steps-to-getting-started-in-open-source-research/" TargetMode="External"/><Relationship Id="rId20" Type="http://schemas.openxmlformats.org/officeDocument/2006/relationships/hyperlink" Target="https://docs.google.com/document/d/1U0Yo0PFkOmk-G3myU--taiNN3wrRUkte7LeEtmBbE9c/ed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um.com/sdg16plus/get-ready-for-justice-to-take-center-stage-in-climate-action-f0f7201db9c" TargetMode="External"/><Relationship Id="rId24" Type="http://schemas.openxmlformats.org/officeDocument/2006/relationships/hyperlink" Target="http://visualizingrights.org/kit/"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urojust.europa.eu/sites/default/files/assets/eurojust-icc-csos-guidelines.pdf" TargetMode="External"/><Relationship Id="rId23" Type="http://schemas.openxmlformats.org/officeDocument/2006/relationships/hyperlink" Target="https://contentauthenticity.org/blog?offset=1620244822589" TargetMode="External"/><Relationship Id="rId28" Type="http://schemas.openxmlformats.org/officeDocument/2006/relationships/hyperlink" Target="https://library.witness.org/product-tag/video-production/" TargetMode="External"/><Relationship Id="rId10" Type="http://schemas.openxmlformats.org/officeDocument/2006/relationships/hyperlink" Target="https://journals.uic.edu/ojs/index.php/ojphi/article/view/9631/7742" TargetMode="External"/><Relationship Id="rId19" Type="http://schemas.openxmlformats.org/officeDocument/2006/relationships/hyperlink" Target="https://www.icrc.org/en/publication/0999-professional-standards-protection-work-carried-out-humanitarian-and-human-right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dium.com/humanrightscenter/seven-essential-questions-for-ethical-war-crimes-documentation-6e891f498da6" TargetMode="External"/><Relationship Id="rId22" Type="http://schemas.openxmlformats.org/officeDocument/2006/relationships/hyperlink" Target="https://www.ohchr.org/en/publications/policy-and-methodological-publications/berkeley-protocol-digital-open-source" TargetMode="External"/><Relationship Id="rId27" Type="http://schemas.openxmlformats.org/officeDocument/2006/relationships/hyperlink" Target="https://archiving.witness.org/archive-guid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medium.com/sdg16plus/get-ready-for-justice-to-take-center-stage-in-climate-action-f0f7201db9c" TargetMode="External"/><Relationship Id="rId18" Type="http://schemas.openxmlformats.org/officeDocument/2006/relationships/hyperlink" Target="http://www.insecurityinsight.org/" TargetMode="External"/><Relationship Id="rId26" Type="http://schemas.openxmlformats.org/officeDocument/2006/relationships/hyperlink" Target="https://www.bbc.com/news/uk-northern-ireland-51480198" TargetMode="External"/><Relationship Id="rId39" Type="http://schemas.openxmlformats.org/officeDocument/2006/relationships/hyperlink" Target="https://www.youtube.com/watch?v=5FxAahqKLV0" TargetMode="External"/><Relationship Id="rId3" Type="http://schemas.openxmlformats.org/officeDocument/2006/relationships/hyperlink" Target="https://journals.uic.edu/ojs/index.php/ojphi/article/view/9631/7742" TargetMode="External"/><Relationship Id="rId21" Type="http://schemas.openxmlformats.org/officeDocument/2006/relationships/hyperlink" Target="https://lphr.org.uk/" TargetMode="External"/><Relationship Id="rId34" Type="http://schemas.openxmlformats.org/officeDocument/2006/relationships/hyperlink" Target="https://undocs.org/Home/Mobile?FinalSymbol=A%2FHRC%2F51%2F34&amp;Language=E&amp;DeviceType=Desktop&amp;LangRequested=False" TargetMode="External"/><Relationship Id="rId42" Type="http://schemas.openxmlformats.org/officeDocument/2006/relationships/hyperlink" Target="https://www.tate.org.uk/tate-etc/issue-57-spring-2023" TargetMode="External"/><Relationship Id="rId47" Type="http://schemas.openxmlformats.org/officeDocument/2006/relationships/hyperlink" Target="https://holistic-security.tacticaltech.org/" TargetMode="External"/><Relationship Id="rId50" Type="http://schemas.openxmlformats.org/officeDocument/2006/relationships/hyperlink" Target="https://www.statista.com/statistics/259477/hours-of-video-uploaded-to-youtube-every-minute/" TargetMode="External"/><Relationship Id="rId7" Type="http://schemas.openxmlformats.org/officeDocument/2006/relationships/hyperlink" Target="https://www.accessnow.org/keepiton-faq/" TargetMode="External"/><Relationship Id="rId12" Type="http://schemas.openxmlformats.org/officeDocument/2006/relationships/hyperlink" Target="https://protectionapproaches.org/news/f/switching-the-electricity-off-weaponising-extreme-heat-in-sudan" TargetMode="External"/><Relationship Id="rId17" Type="http://schemas.openxmlformats.org/officeDocument/2006/relationships/hyperlink" Target="https://civiliansinconflict.org/wp-content/uploads/2022/07/Civil-Society-Guidance-for-Civilian-Harm-Mitigation-Response-Action-Plan.pdf" TargetMode="External"/><Relationship Id="rId25" Type="http://schemas.openxmlformats.org/officeDocument/2006/relationships/hyperlink" Target="https://academic.oup.com/jhrp/advance-article/doi/10.1093/jhuman/huac031/6700810" TargetMode="External"/><Relationship Id="rId33" Type="http://schemas.openxmlformats.org/officeDocument/2006/relationships/hyperlink" Target="https://www.scribd.com/document/628798748/class-action-lawsuit" TargetMode="External"/><Relationship Id="rId38" Type="http://schemas.openxmlformats.org/officeDocument/2006/relationships/hyperlink" Target="https://www.youtube.com/watch?v=IGMnFQTiwNg" TargetMode="External"/><Relationship Id="rId46" Type="http://schemas.openxmlformats.org/officeDocument/2006/relationships/hyperlink" Target="https://www.muradcode.com/murad-code" TargetMode="External"/><Relationship Id="rId2" Type="http://schemas.openxmlformats.org/officeDocument/2006/relationships/hyperlink" Target="https://medicine.tufts.edu/people/faculty/olaf-dammann" TargetMode="External"/><Relationship Id="rId16" Type="http://schemas.openxmlformats.org/officeDocument/2006/relationships/hyperlink" Target="https://media.defense.gov/2022/Aug/25/2003064740/-1/-1/1/CIVILIAN-HARM-MITIGATION-AND-RESPONSE-ACTION-PLAN.PDF" TargetMode="External"/><Relationship Id="rId20" Type="http://schemas.openxmlformats.org/officeDocument/2006/relationships/hyperlink" Target="https://ssd.protectingeducation.org/" TargetMode="External"/><Relationship Id="rId29" Type="http://schemas.openxmlformats.org/officeDocument/2006/relationships/hyperlink" Target="https://www.amacad.org/sites/default/files/publication/downloads/13_Doucet.pdf" TargetMode="External"/><Relationship Id="rId41" Type="http://schemas.openxmlformats.org/officeDocument/2006/relationships/hyperlink" Target="https://www.hope-based.com/" TargetMode="External"/><Relationship Id="rId1" Type="http://schemas.openxmlformats.org/officeDocument/2006/relationships/hyperlink" Target="https://learn.totem-project.org/courses/course-v1:Totem+TP_HRD_EN+001/about" TargetMode="External"/><Relationship Id="rId6" Type="http://schemas.openxmlformats.org/officeDocument/2006/relationships/hyperlink" Target="https://datareportal.com/global-digital-overview" TargetMode="External"/><Relationship Id="rId11" Type="http://schemas.openxmlformats.org/officeDocument/2006/relationships/hyperlink" Target="https://www.bosch-stiftung.de/en/climate-security-particularly-conducive-risk-forecasting" TargetMode="External"/><Relationship Id="rId24" Type="http://schemas.openxmlformats.org/officeDocument/2006/relationships/hyperlink" Target="https://www.gov.uk/government/publications/lawyers-for-palestinian-human-rights-complaint-to-uk-ncp-about-jcb/final-statement-lawyers-for-palestinian-human-rights-complaint-to-uk-ncp-about-jcb" TargetMode="External"/><Relationship Id="rId32" Type="http://schemas.openxmlformats.org/officeDocument/2006/relationships/hyperlink" Target="https://www.cbsnews.com/newyork/news/new-york-city-nypd-george-floyd-protest-lawsuit/" TargetMode="External"/><Relationship Id="rId37" Type="http://schemas.openxmlformats.org/officeDocument/2006/relationships/hyperlink" Target="http://www.liberkujtimiikosoves.org/?page_id=29&amp;lang=de" TargetMode="External"/><Relationship Id="rId40" Type="http://schemas.openxmlformats.org/officeDocument/2006/relationships/hyperlink" Target="https://www.theguardian.com/global-development/2020/oct/23/brutal-policing-kenyas-covid-curfew-left-15-dead" TargetMode="External"/><Relationship Id="rId45" Type="http://schemas.openxmlformats.org/officeDocument/2006/relationships/hyperlink" Target="http://repository.essex.ac.uk/32642/1/Outlining%20a%20Human-Rights%20Based%20Approach%20to%20Digital%20Open%20Source%20Investigations.pdf" TargetMode="External"/><Relationship Id="rId5" Type="http://schemas.openxmlformats.org/officeDocument/2006/relationships/hyperlink" Target="https://www.ohchr.org/sites/default/files/2022-04/OHCHR_BerkeleyProtocol.pdf" TargetMode="External"/><Relationship Id="rId15" Type="http://schemas.openxmlformats.org/officeDocument/2006/relationships/hyperlink" Target="https://www.ictj.org/publication/justice-syrian-victims-beyond-trials-need-new-innovative-uses-documentation-human-rights" TargetMode="External"/><Relationship Id="rId23" Type="http://schemas.openxmlformats.org/officeDocument/2006/relationships/hyperlink" Target="https://lphr.org.uk/wp-content/uploads/2019/12/Complaint-regarding-the-involvement-of-JCB-in-human-rights-breaches-in-the-occupied-Palestinian-territory-raised-by-LPHR-FINAL.pdf" TargetMode="External"/><Relationship Id="rId28" Type="http://schemas.openxmlformats.org/officeDocument/2006/relationships/hyperlink" Target="https://memoriaabierta.org.ar/wp/en/about-memoria-abierta/" TargetMode="External"/><Relationship Id="rId36" Type="http://schemas.openxmlformats.org/officeDocument/2006/relationships/hyperlink" Target="https://revista.drclas.harvard.edu/the-eye-that-cries/" TargetMode="External"/><Relationship Id="rId49" Type="http://schemas.openxmlformats.org/officeDocument/2006/relationships/hyperlink" Target="https://opil.ouplaw.com/view/10.1093/law/9780198836063.001.0001/law-9780198836063" TargetMode="External"/><Relationship Id="rId10" Type="http://schemas.openxmlformats.org/officeDocument/2006/relationships/hyperlink" Target="https://www.nytimes.com/interactive/2023/04/15/world/africa/sudan-maps-videos.html?searchResultPosition=2" TargetMode="External"/><Relationship Id="rId19" Type="http://schemas.openxmlformats.org/officeDocument/2006/relationships/hyperlink" Target="https://protectingeducation.org/" TargetMode="External"/><Relationship Id="rId31" Type="http://schemas.openxmlformats.org/officeDocument/2006/relationships/hyperlink" Target="https://doi.org/10.1080/14754835.2022.2122785" TargetMode="External"/><Relationship Id="rId44" Type="http://schemas.openxmlformats.org/officeDocument/2006/relationships/hyperlink" Target="https://docs.google.com/document/d/1U0Yo0PFkOmk-G3myU--taiNN3wrRUkte7LeEtmBbE9c/edit" TargetMode="External"/><Relationship Id="rId4" Type="http://schemas.openxmlformats.org/officeDocument/2006/relationships/hyperlink" Target="https://blog.hubspot.com/customers/auditing-your-companys-tech-stack-or-platform-apps" TargetMode="External"/><Relationship Id="rId9" Type="http://schemas.openxmlformats.org/officeDocument/2006/relationships/hyperlink" Target="https://www.hrw.org/video-photos/interactive/2023/02/21/death-at-the-station/russian-cluster-munition-attack-in-kramatorsk" TargetMode="External"/><Relationship Id="rId14" Type="http://schemas.openxmlformats.org/officeDocument/2006/relationships/hyperlink" Target="https://southsudan.crisisgroup.org/" TargetMode="External"/><Relationship Id="rId22" Type="http://schemas.openxmlformats.org/officeDocument/2006/relationships/hyperlink" Target="http://mneguidelines.oecd.org/guidelines/" TargetMode="External"/><Relationship Id="rId27" Type="http://schemas.openxmlformats.org/officeDocument/2006/relationships/hyperlink" Target="https://www.belfasttelegraph.co.uk/news/politics/lost-lives-authors-do-not-want-book-reprinted/39859151.html" TargetMode="External"/><Relationship Id="rId30" Type="http://schemas.openxmlformats.org/officeDocument/2006/relationships/hyperlink" Target="http://amandamurdie.org/uploads/3/0/3/1/3031054/draft_to_circulate_murdie_peksen.pdf" TargetMode="External"/><Relationship Id="rId35" Type="http://schemas.openxmlformats.org/officeDocument/2006/relationships/hyperlink" Target="https://www.cipdh.gob.ar/memorias-situadas/lugar-de-memoria/el-ojo-que-llora/" TargetMode="External"/><Relationship Id="rId43" Type="http://schemas.openxmlformats.org/officeDocument/2006/relationships/hyperlink" Target="https://medium.com/humanrightscenter/seven-essential-questions-for-ethical-war-crimes-documentation-6e891f498da6" TargetMode="External"/><Relationship Id="rId48" Type="http://schemas.openxmlformats.org/officeDocument/2006/relationships/hyperlink" Target="https://archiving.witness.org/archive-guide/" TargetMode="External"/><Relationship Id="rId8" Type="http://schemas.openxmlformats.org/officeDocument/2006/relationships/hyperlink" Target="https://www.brookings.edu/blog/techtank/2021/02/05/shutting-down-the-internet/" TargetMode="External"/><Relationship Id="rId51" Type="http://schemas.openxmlformats.org/officeDocument/2006/relationships/hyperlink" Target="https://www.statista.com/statistics/278414/number-of-worldwide-social-network-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Hum23</b:Tag>
    <b:SourceType>InternetSite</b:SourceType>
    <b:Guid>{55EBEE16-27BC-49F2-B8A7-CBA480CF465E}</b:Guid>
    <b:Author>
      <b:Author>
        <b:Corporate>Human Rights Watch and SITU Research</b:Corporate>
      </b:Author>
    </b:Author>
    <b:Title>Death at the Station: Russian Cluster Munition Attack in Kramatorsk</b:Title>
    <b:Year>2023</b:Year>
    <b:YearAccessed>2023</b:YearAccessed>
    <b:MonthAccessed>May</b:MonthAccessed>
    <b:DayAccessed>30</b:DayAccessed>
    <b:URL>https://www.hrw.org/video-photos/interactive/2023/02/21/death-at-the-station/russian-cluster-munition-attack-in-kramatorsk</b:URL>
    <b:RefOrder>1</b:RefOrder>
  </b:Source>
</b:Sources>
</file>

<file path=customXml/itemProps1.xml><?xml version="1.0" encoding="utf-8"?>
<ds:datastoreItem xmlns:ds="http://schemas.openxmlformats.org/officeDocument/2006/customXml" ds:itemID="{AE03BE1D-7C94-471F-9719-3FCE0C81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12235</Words>
  <Characters>69746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JG</cp:lastModifiedBy>
  <cp:revision>2</cp:revision>
  <cp:lastPrinted>2023-06-01T10:21:00Z</cp:lastPrinted>
  <dcterms:created xsi:type="dcterms:W3CDTF">2023-06-05T10:32:00Z</dcterms:created>
  <dcterms:modified xsi:type="dcterms:W3CDTF">2023-06-05T10:32:00Z</dcterms:modified>
</cp:coreProperties>
</file>